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A25" w:rsidRDefault="00B56A25" w:rsidP="00B56A25">
      <w:pPr>
        <w:pBdr>
          <w:top w:val="single" w:sz="4" w:space="0" w:color="000000"/>
          <w:left w:val="single" w:sz="4" w:space="4" w:color="000000"/>
          <w:bottom w:val="single" w:sz="4" w:space="0" w:color="000000"/>
          <w:right w:val="single" w:sz="4" w:space="4" w:color="000000"/>
        </w:pBdr>
        <w:spacing w:before="240" w:after="0" w:line="240" w:lineRule="auto"/>
        <w:contextualSpacing/>
        <w:jc w:val="center"/>
        <w:rPr>
          <w:rFonts w:ascii="Arial" w:eastAsia="Times New Roman" w:hAnsi="Arial" w:cs="Arial"/>
          <w:color w:val="000000"/>
          <w:spacing w:val="5"/>
          <w:sz w:val="34"/>
          <w:szCs w:val="52"/>
        </w:rPr>
      </w:pPr>
      <w:r>
        <w:rPr>
          <w:rFonts w:ascii="Arial" w:eastAsia="Times New Roman" w:hAnsi="Arial" w:cs="Arial"/>
          <w:b/>
          <w:color w:val="000000"/>
          <w:spacing w:val="5"/>
          <w:sz w:val="34"/>
          <w:szCs w:val="52"/>
        </w:rPr>
        <w:t>Staffel-Lesen</w:t>
      </w:r>
    </w:p>
    <w:p w:rsidR="00B56A25" w:rsidRDefault="00B56A25" w:rsidP="00B56A25">
      <w:pPr>
        <w:rPr>
          <w:rFonts w:ascii="Arial" w:hAnsi="Arial" w:cs="Arial"/>
          <w:sz w:val="16"/>
        </w:rPr>
      </w:pPr>
    </w:p>
    <w:p w:rsidR="00B56A25" w:rsidRDefault="00B56A25" w:rsidP="00B56A25">
      <w:pPr>
        <w:jc w:val="center"/>
        <w:rPr>
          <w:rFonts w:ascii="Arial" w:hAnsi="Arial" w:cs="Arial"/>
          <w:sz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7000"/>
      </w:tblGrid>
      <w:tr w:rsidR="00B56A25" w:rsidRPr="0022534F" w:rsidTr="00EE238F">
        <w:tc>
          <w:tcPr>
            <w:tcW w:w="2356" w:type="dxa"/>
          </w:tcPr>
          <w:p w:rsidR="00B56A25" w:rsidRPr="0022534F" w:rsidRDefault="00B56A25" w:rsidP="00EE238F">
            <w:pPr>
              <w:rPr>
                <w:rFonts w:ascii="Arial" w:hAnsi="Arial" w:cs="Arial"/>
                <w:b/>
                <w:sz w:val="22"/>
                <w:highlight w:val="yellow"/>
              </w:rPr>
            </w:pPr>
            <w:r w:rsidRPr="0022534F">
              <w:rPr>
                <w:rFonts w:ascii="Arial" w:hAnsi="Arial" w:cs="Arial"/>
                <w:b/>
                <w:sz w:val="22"/>
              </w:rPr>
              <w:t>Schulart(en)</w:t>
            </w:r>
          </w:p>
        </w:tc>
        <w:tc>
          <w:tcPr>
            <w:tcW w:w="7000" w:type="dxa"/>
          </w:tcPr>
          <w:p w:rsidR="00B56A25" w:rsidRPr="0022534F" w:rsidRDefault="00B56A25" w:rsidP="00EE238F">
            <w:pPr>
              <w:rPr>
                <w:rFonts w:ascii="Arial" w:hAnsi="Arial" w:cs="Arial"/>
                <w:sz w:val="22"/>
              </w:rPr>
            </w:pPr>
            <w:r w:rsidRPr="0022534F">
              <w:rPr>
                <w:rFonts w:ascii="Arial" w:hAnsi="Arial" w:cs="Arial"/>
                <w:sz w:val="22"/>
              </w:rPr>
              <w:t>alle</w:t>
            </w:r>
          </w:p>
        </w:tc>
      </w:tr>
      <w:tr w:rsidR="00B56A25" w:rsidRPr="0022534F" w:rsidTr="00EE238F">
        <w:tc>
          <w:tcPr>
            <w:tcW w:w="2356" w:type="dxa"/>
          </w:tcPr>
          <w:p w:rsidR="00B56A25" w:rsidRPr="0022534F" w:rsidRDefault="00B56A25" w:rsidP="00EE238F">
            <w:pPr>
              <w:rPr>
                <w:rFonts w:ascii="Arial" w:hAnsi="Arial" w:cs="Arial"/>
                <w:b/>
                <w:sz w:val="22"/>
                <w:highlight w:val="yellow"/>
              </w:rPr>
            </w:pPr>
            <w:r w:rsidRPr="0022534F">
              <w:rPr>
                <w:rFonts w:ascii="Arial" w:hAnsi="Arial" w:cs="Arial"/>
                <w:b/>
                <w:sz w:val="22"/>
              </w:rPr>
              <w:t>Jahrgangsstufe(n)</w:t>
            </w:r>
          </w:p>
        </w:tc>
        <w:tc>
          <w:tcPr>
            <w:tcW w:w="7000" w:type="dxa"/>
          </w:tcPr>
          <w:p w:rsidR="00B56A25" w:rsidRPr="0022534F" w:rsidRDefault="00B56A25" w:rsidP="00EE238F">
            <w:pPr>
              <w:rPr>
                <w:rFonts w:ascii="Arial" w:hAnsi="Arial" w:cs="Arial"/>
                <w:sz w:val="22"/>
              </w:rPr>
            </w:pPr>
            <w:r w:rsidRPr="0022534F">
              <w:rPr>
                <w:rFonts w:ascii="Arial" w:hAnsi="Arial" w:cs="Arial"/>
                <w:sz w:val="22"/>
              </w:rPr>
              <w:t>4-10</w:t>
            </w:r>
          </w:p>
        </w:tc>
      </w:tr>
      <w:tr w:rsidR="00B56A25" w:rsidRPr="0022534F" w:rsidTr="00EE238F">
        <w:tc>
          <w:tcPr>
            <w:tcW w:w="2356" w:type="dxa"/>
          </w:tcPr>
          <w:p w:rsidR="00B56A25" w:rsidRPr="0022534F" w:rsidRDefault="00B56A25" w:rsidP="00EE238F">
            <w:pPr>
              <w:rPr>
                <w:rFonts w:ascii="Arial" w:hAnsi="Arial" w:cs="Arial"/>
                <w:b/>
                <w:sz w:val="22"/>
                <w:highlight w:val="yellow"/>
              </w:rPr>
            </w:pPr>
            <w:r w:rsidRPr="0022534F">
              <w:rPr>
                <w:rFonts w:ascii="Arial" w:hAnsi="Arial" w:cs="Arial"/>
                <w:b/>
                <w:sz w:val="22"/>
              </w:rPr>
              <w:t>Fach/Fächer/</w:t>
            </w:r>
            <w:proofErr w:type="spellStart"/>
            <w:r w:rsidRPr="0022534F">
              <w:rPr>
                <w:rFonts w:ascii="Arial" w:hAnsi="Arial" w:cs="Arial"/>
                <w:b/>
                <w:sz w:val="22"/>
              </w:rPr>
              <w:t>fachüb</w:t>
            </w:r>
            <w:proofErr w:type="spellEnd"/>
            <w:r w:rsidRPr="0022534F">
              <w:rPr>
                <w:rFonts w:ascii="Arial" w:hAnsi="Arial" w:cs="Arial"/>
                <w:b/>
                <w:sz w:val="22"/>
              </w:rPr>
              <w:t>.</w:t>
            </w:r>
          </w:p>
        </w:tc>
        <w:tc>
          <w:tcPr>
            <w:tcW w:w="7000" w:type="dxa"/>
          </w:tcPr>
          <w:p w:rsidR="00B56A25" w:rsidRPr="0022534F" w:rsidRDefault="00B56A25" w:rsidP="00EE238F">
            <w:pPr>
              <w:rPr>
                <w:rFonts w:ascii="Arial" w:hAnsi="Arial" w:cs="Arial"/>
                <w:sz w:val="22"/>
              </w:rPr>
            </w:pPr>
            <w:r w:rsidRPr="0022534F">
              <w:rPr>
                <w:rFonts w:ascii="Arial" w:hAnsi="Arial" w:cs="Arial"/>
                <w:sz w:val="22"/>
              </w:rPr>
              <w:t>Deutsch, Fremdsprachen</w:t>
            </w:r>
          </w:p>
        </w:tc>
      </w:tr>
      <w:tr w:rsidR="00B56A25" w:rsidRPr="0022534F" w:rsidTr="00EE238F">
        <w:tc>
          <w:tcPr>
            <w:tcW w:w="2356" w:type="dxa"/>
          </w:tcPr>
          <w:p w:rsidR="00B56A25" w:rsidRPr="0022534F" w:rsidRDefault="00B56A25" w:rsidP="00EE238F">
            <w:pPr>
              <w:rPr>
                <w:rFonts w:ascii="Arial" w:hAnsi="Arial" w:cs="Arial"/>
                <w:b/>
                <w:sz w:val="22"/>
              </w:rPr>
            </w:pPr>
            <w:r w:rsidRPr="0022534F">
              <w:rPr>
                <w:rFonts w:ascii="Arial" w:hAnsi="Arial" w:cs="Arial"/>
                <w:b/>
                <w:sz w:val="22"/>
              </w:rPr>
              <w:t>Textarten</w:t>
            </w:r>
          </w:p>
        </w:tc>
        <w:tc>
          <w:tcPr>
            <w:tcW w:w="7000" w:type="dxa"/>
          </w:tcPr>
          <w:p w:rsidR="00B56A25" w:rsidRPr="0022534F" w:rsidRDefault="00B56A25" w:rsidP="00EE238F">
            <w:pPr>
              <w:rPr>
                <w:rFonts w:ascii="Arial" w:hAnsi="Arial" w:cs="Arial"/>
                <w:sz w:val="22"/>
              </w:rPr>
            </w:pPr>
            <w:r w:rsidRPr="0022534F">
              <w:rPr>
                <w:rFonts w:ascii="Arial" w:hAnsi="Arial" w:cs="Arial"/>
                <w:sz w:val="22"/>
              </w:rPr>
              <w:t>literarische Texte, z. B. Kurzgeschichte, erzählende Texte</w:t>
            </w:r>
          </w:p>
        </w:tc>
      </w:tr>
      <w:tr w:rsidR="00B56A25" w:rsidRPr="0022534F" w:rsidTr="00EE238F">
        <w:tc>
          <w:tcPr>
            <w:tcW w:w="2356" w:type="dxa"/>
            <w:tcBorders>
              <w:top w:val="single" w:sz="4" w:space="0" w:color="auto"/>
              <w:left w:val="single" w:sz="4" w:space="0" w:color="auto"/>
              <w:bottom w:val="single" w:sz="4" w:space="0" w:color="auto"/>
              <w:right w:val="single" w:sz="4" w:space="0" w:color="auto"/>
            </w:tcBorders>
          </w:tcPr>
          <w:p w:rsidR="00B56A25" w:rsidRPr="0022534F" w:rsidRDefault="00B56A25" w:rsidP="00EE238F">
            <w:pPr>
              <w:rPr>
                <w:rFonts w:ascii="Arial" w:hAnsi="Arial" w:cs="Arial"/>
                <w:b/>
                <w:sz w:val="22"/>
              </w:rPr>
            </w:pPr>
            <w:r w:rsidRPr="0022534F">
              <w:rPr>
                <w:rFonts w:ascii="Arial" w:hAnsi="Arial" w:cs="Arial"/>
                <w:b/>
                <w:sz w:val="22"/>
              </w:rPr>
              <w:t>Kurzbeschreibung</w:t>
            </w:r>
          </w:p>
        </w:tc>
        <w:tc>
          <w:tcPr>
            <w:tcW w:w="7000" w:type="dxa"/>
            <w:tcBorders>
              <w:top w:val="single" w:sz="4" w:space="0" w:color="auto"/>
              <w:left w:val="single" w:sz="4" w:space="0" w:color="auto"/>
              <w:bottom w:val="single" w:sz="4" w:space="0" w:color="auto"/>
              <w:right w:val="single" w:sz="4" w:space="0" w:color="auto"/>
            </w:tcBorders>
          </w:tcPr>
          <w:p w:rsidR="00B56A25" w:rsidRPr="0022534F" w:rsidRDefault="00B56A25" w:rsidP="00EE238F">
            <w:pPr>
              <w:rPr>
                <w:rFonts w:ascii="Arial" w:hAnsi="Arial" w:cs="Arial"/>
                <w:sz w:val="22"/>
              </w:rPr>
            </w:pPr>
            <w:r w:rsidRPr="0022534F">
              <w:rPr>
                <w:rFonts w:ascii="Arial" w:hAnsi="Arial" w:cs="Arial"/>
                <w:sz w:val="22"/>
              </w:rPr>
              <w:t>Methode des Erlesens eines Textes im Klassenverband mit Training von Hörverständnis und Inhaltserschließung</w:t>
            </w:r>
          </w:p>
        </w:tc>
      </w:tr>
      <w:tr w:rsidR="00B56A25" w:rsidRPr="0022534F" w:rsidTr="00EE238F">
        <w:tc>
          <w:tcPr>
            <w:tcW w:w="2356" w:type="dxa"/>
          </w:tcPr>
          <w:p w:rsidR="00B56A25" w:rsidRPr="0022534F" w:rsidRDefault="00B56A25" w:rsidP="00EE238F">
            <w:pPr>
              <w:rPr>
                <w:rFonts w:ascii="Arial" w:hAnsi="Arial" w:cs="Arial"/>
                <w:b/>
                <w:sz w:val="22"/>
              </w:rPr>
            </w:pPr>
            <w:r w:rsidRPr="0022534F">
              <w:rPr>
                <w:rFonts w:ascii="Arial" w:hAnsi="Arial" w:cs="Arial"/>
                <w:b/>
                <w:sz w:val="22"/>
              </w:rPr>
              <w:t xml:space="preserve">Hinweise </w:t>
            </w:r>
          </w:p>
        </w:tc>
        <w:tc>
          <w:tcPr>
            <w:tcW w:w="7000" w:type="dxa"/>
          </w:tcPr>
          <w:p w:rsidR="00B56A25" w:rsidRPr="0022534F" w:rsidRDefault="00B56A25" w:rsidP="00EE238F">
            <w:pPr>
              <w:rPr>
                <w:rFonts w:ascii="Arial" w:hAnsi="Arial" w:cs="Arial"/>
                <w:sz w:val="22"/>
              </w:rPr>
            </w:pPr>
            <w:r w:rsidRPr="0022534F">
              <w:rPr>
                <w:rFonts w:ascii="Arial" w:hAnsi="Arial" w:cs="Arial"/>
                <w:sz w:val="22"/>
              </w:rPr>
              <w:t>Diese Methode bereitet vor allem jüngeren</w:t>
            </w:r>
            <w:r>
              <w:rPr>
                <w:rFonts w:ascii="Arial" w:hAnsi="Arial" w:cs="Arial"/>
                <w:sz w:val="22"/>
              </w:rPr>
              <w:t xml:space="preserve"> Schülerinnen und</w:t>
            </w:r>
            <w:r w:rsidRPr="0022534F">
              <w:rPr>
                <w:rFonts w:ascii="Arial" w:hAnsi="Arial" w:cs="Arial"/>
                <w:sz w:val="22"/>
              </w:rPr>
              <w:t xml:space="preserve"> Schülern Freude, weil sie </w:t>
            </w:r>
            <w:r>
              <w:rPr>
                <w:rFonts w:ascii="Arial" w:hAnsi="Arial" w:cs="Arial"/>
                <w:sz w:val="22"/>
              </w:rPr>
              <w:t xml:space="preserve">kooperativ ist und </w:t>
            </w:r>
            <w:r w:rsidRPr="0022534F">
              <w:rPr>
                <w:rFonts w:ascii="Arial" w:hAnsi="Arial" w:cs="Arial"/>
                <w:sz w:val="22"/>
              </w:rPr>
              <w:t>auch Bewegung in die Klasse bringt.</w:t>
            </w:r>
          </w:p>
        </w:tc>
      </w:tr>
      <w:tr w:rsidR="00B56A25" w:rsidRPr="0022534F" w:rsidTr="00EE238F">
        <w:tc>
          <w:tcPr>
            <w:tcW w:w="2356" w:type="dxa"/>
          </w:tcPr>
          <w:p w:rsidR="00B56A25" w:rsidRPr="0022534F" w:rsidRDefault="00B56A25" w:rsidP="00EE238F">
            <w:pPr>
              <w:rPr>
                <w:rFonts w:ascii="Arial" w:hAnsi="Arial" w:cs="Arial"/>
                <w:b/>
                <w:sz w:val="22"/>
              </w:rPr>
            </w:pPr>
            <w:r w:rsidRPr="0022534F">
              <w:rPr>
                <w:rFonts w:ascii="Arial" w:hAnsi="Arial" w:cs="Arial"/>
                <w:b/>
                <w:sz w:val="22"/>
              </w:rPr>
              <w:t xml:space="preserve">Materialien </w:t>
            </w:r>
          </w:p>
        </w:tc>
        <w:tc>
          <w:tcPr>
            <w:tcW w:w="7000" w:type="dxa"/>
          </w:tcPr>
          <w:p w:rsidR="00B56A25" w:rsidRPr="0022534F" w:rsidRDefault="00B56A25" w:rsidP="00B56A25">
            <w:pPr>
              <w:pStyle w:val="Listenabsatz"/>
              <w:numPr>
                <w:ilvl w:val="0"/>
                <w:numId w:val="14"/>
              </w:numPr>
              <w:rPr>
                <w:rFonts w:ascii="Arial" w:hAnsi="Arial" w:cs="Arial"/>
              </w:rPr>
            </w:pPr>
            <w:r w:rsidRPr="0022534F">
              <w:rPr>
                <w:rFonts w:ascii="Arial" w:hAnsi="Arial" w:cs="Arial"/>
              </w:rPr>
              <w:t>Lesekarten mit vorbereiteten Textabschnitten (erste Farbe)</w:t>
            </w:r>
          </w:p>
          <w:p w:rsidR="00B56A25" w:rsidRPr="0022534F" w:rsidRDefault="00B56A25" w:rsidP="00B56A25">
            <w:pPr>
              <w:pStyle w:val="Listenabsatz"/>
              <w:numPr>
                <w:ilvl w:val="0"/>
                <w:numId w:val="14"/>
              </w:numPr>
              <w:rPr>
                <w:rFonts w:ascii="Arial" w:hAnsi="Arial" w:cs="Arial"/>
              </w:rPr>
            </w:pPr>
            <w:r w:rsidRPr="0022534F">
              <w:rPr>
                <w:rFonts w:ascii="Arial" w:hAnsi="Arial" w:cs="Arial"/>
              </w:rPr>
              <w:t>Inhaltskarten (zweite Farbe)</w:t>
            </w:r>
          </w:p>
          <w:p w:rsidR="00B56A25" w:rsidRPr="0022534F" w:rsidRDefault="00B56A25" w:rsidP="00B56A25">
            <w:pPr>
              <w:pStyle w:val="Listenabsatz"/>
              <w:numPr>
                <w:ilvl w:val="0"/>
                <w:numId w:val="14"/>
              </w:numPr>
              <w:rPr>
                <w:rFonts w:ascii="Arial" w:hAnsi="Arial" w:cs="Arial"/>
              </w:rPr>
            </w:pPr>
            <w:r w:rsidRPr="0022534F">
              <w:rPr>
                <w:rFonts w:ascii="Arial" w:hAnsi="Arial" w:cs="Arial"/>
              </w:rPr>
              <w:t>Bildkarten (dritte Farbe)</w:t>
            </w:r>
          </w:p>
          <w:p w:rsidR="00B56A25" w:rsidRPr="0022534F" w:rsidRDefault="00B56A25" w:rsidP="00B56A25">
            <w:pPr>
              <w:pStyle w:val="Listenabsatz"/>
              <w:numPr>
                <w:ilvl w:val="0"/>
                <w:numId w:val="14"/>
              </w:numPr>
              <w:rPr>
                <w:rFonts w:ascii="Arial" w:hAnsi="Arial" w:cs="Arial"/>
              </w:rPr>
            </w:pPr>
            <w:r w:rsidRPr="0022534F">
              <w:rPr>
                <w:rFonts w:ascii="Arial" w:hAnsi="Arial" w:cs="Arial"/>
              </w:rPr>
              <w:t>Magnete</w:t>
            </w:r>
          </w:p>
          <w:p w:rsidR="00B56A25" w:rsidRPr="0022534F" w:rsidRDefault="00B56A25" w:rsidP="00B56A25">
            <w:pPr>
              <w:pStyle w:val="Listenabsatz"/>
              <w:numPr>
                <w:ilvl w:val="0"/>
                <w:numId w:val="14"/>
              </w:numPr>
              <w:rPr>
                <w:rFonts w:ascii="Arial" w:hAnsi="Arial" w:cs="Arial"/>
              </w:rPr>
            </w:pPr>
            <w:r w:rsidRPr="0022534F">
              <w:rPr>
                <w:rFonts w:ascii="Arial" w:hAnsi="Arial" w:cs="Arial"/>
              </w:rPr>
              <w:t>Textkopien im Ganzen zum späteren Nachlesen</w:t>
            </w:r>
          </w:p>
        </w:tc>
      </w:tr>
    </w:tbl>
    <w:p w:rsidR="00B56A25" w:rsidRDefault="00B56A25" w:rsidP="00B56A25">
      <w:pPr>
        <w:spacing w:before="0"/>
        <w:rPr>
          <w:rFonts w:ascii="Arial" w:hAnsi="Arial" w:cs="Arial"/>
          <w:sz w:val="28"/>
          <w:szCs w:val="28"/>
        </w:rPr>
      </w:pPr>
    </w:p>
    <w:p w:rsidR="00B56A25" w:rsidRDefault="00B56A25" w:rsidP="00B56A25">
      <w:pPr>
        <w:spacing w:before="0" w:after="0" w:line="240" w:lineRule="auto"/>
        <w:rPr>
          <w:rFonts w:ascii="Arial" w:hAnsi="Arial" w:cs="Arial"/>
          <w:b/>
          <w:bCs/>
          <w:sz w:val="28"/>
          <w:szCs w:val="28"/>
        </w:rPr>
      </w:pPr>
      <w:r>
        <w:rPr>
          <w:rFonts w:ascii="Arial" w:hAnsi="Arial" w:cs="Arial"/>
          <w:b/>
          <w:bCs/>
          <w:sz w:val="28"/>
          <w:szCs w:val="28"/>
        </w:rPr>
        <w:br w:type="page"/>
      </w:r>
    </w:p>
    <w:p w:rsidR="00B56A25" w:rsidRDefault="00B56A25" w:rsidP="00B56A25">
      <w:pPr>
        <w:spacing w:before="0"/>
        <w:jc w:val="center"/>
        <w:rPr>
          <w:rFonts w:ascii="Arial" w:hAnsi="Arial" w:cs="Arial"/>
          <w:b/>
          <w:bCs/>
          <w:sz w:val="28"/>
          <w:szCs w:val="28"/>
        </w:rPr>
      </w:pPr>
      <w:r>
        <w:rPr>
          <w:rFonts w:ascii="Arial" w:hAnsi="Arial" w:cs="Arial"/>
          <w:b/>
          <w:bCs/>
          <w:sz w:val="28"/>
          <w:szCs w:val="28"/>
        </w:rPr>
        <w:lastRenderedPageBreak/>
        <w:t>Methodenkarte Lehrkraft</w:t>
      </w:r>
    </w:p>
    <w:p w:rsidR="00B56A25" w:rsidRDefault="00B56A25" w:rsidP="00B56A25">
      <w:pPr>
        <w:spacing w:before="0"/>
        <w:jc w:val="both"/>
        <w:rPr>
          <w:rFonts w:ascii="Arial" w:hAnsi="Arial" w:cs="Arial"/>
          <w:sz w:val="28"/>
          <w:szCs w:val="28"/>
        </w:rPr>
      </w:pPr>
      <w:r>
        <w:rPr>
          <w:rFonts w:ascii="Arial" w:hAnsi="Arial" w:cs="Arial"/>
          <w:sz w:val="28"/>
          <w:szCs w:val="28"/>
        </w:rPr>
        <w:t>Vorbereitung:</w:t>
      </w:r>
    </w:p>
    <w:p w:rsidR="00B56A25" w:rsidRDefault="00B56A25" w:rsidP="00B56A25">
      <w:pPr>
        <w:pStyle w:val="Listenabsatz"/>
        <w:numPr>
          <w:ilvl w:val="0"/>
          <w:numId w:val="16"/>
        </w:numPr>
        <w:jc w:val="both"/>
        <w:rPr>
          <w:rFonts w:ascii="Arial" w:hAnsi="Arial" w:cs="Arial"/>
          <w:sz w:val="28"/>
          <w:szCs w:val="28"/>
        </w:rPr>
      </w:pPr>
      <w:r>
        <w:rPr>
          <w:rFonts w:ascii="Arial" w:hAnsi="Arial" w:cs="Arial"/>
          <w:sz w:val="28"/>
          <w:szCs w:val="28"/>
          <w:u w:val="single"/>
        </w:rPr>
        <w:t>Lesekarten</w:t>
      </w:r>
      <w:r>
        <w:rPr>
          <w:rFonts w:ascii="Arial" w:hAnsi="Arial" w:cs="Arial"/>
          <w:sz w:val="28"/>
          <w:szCs w:val="28"/>
        </w:rPr>
        <w:t xml:space="preserve"> müssen vorbereitet werden. Dazu muss der Lesetext in gleichmäßige Leseabschnitte aufgeteilt werden. Lesekarte 1 deutet mit der Überschrift auf den Textbeginn hin. Die Leseabschnitte werden jeweils um einen Satz überlappend auf feste Karten in einer Farbe gedruckt. Dabei beginnt die Folgekarte immer mit dem letzten Satz der Vorgängerkarte. Dieser überlappende Satz wird auf der Folgekarte gekennzeichnet und dient der folgenden Leserin/dem folgenden Leser beim Hören als Signal, dass nun ihr/sein Leseabschnitt an das vorab Gehörte anschließt. </w:t>
      </w:r>
    </w:p>
    <w:p w:rsidR="00B56A25" w:rsidRDefault="00B56A25" w:rsidP="00B56A25">
      <w:pPr>
        <w:spacing w:before="0"/>
        <w:ind w:left="720"/>
        <w:jc w:val="both"/>
        <w:rPr>
          <w:rFonts w:ascii="Arial" w:hAnsi="Arial" w:cs="Arial"/>
          <w:sz w:val="4"/>
          <w:szCs w:val="4"/>
        </w:rPr>
      </w:pPr>
    </w:p>
    <w:p w:rsidR="00B56A25" w:rsidRDefault="00B56A25" w:rsidP="00B56A25">
      <w:pPr>
        <w:pStyle w:val="Listenabsatz"/>
        <w:numPr>
          <w:ilvl w:val="0"/>
          <w:numId w:val="16"/>
        </w:numPr>
        <w:jc w:val="both"/>
        <w:rPr>
          <w:rFonts w:ascii="Arial" w:hAnsi="Arial" w:cs="Arial"/>
          <w:sz w:val="28"/>
          <w:szCs w:val="28"/>
        </w:rPr>
      </w:pPr>
      <w:r>
        <w:rPr>
          <w:rFonts w:ascii="Arial" w:hAnsi="Arial" w:cs="Arial"/>
          <w:sz w:val="28"/>
          <w:szCs w:val="28"/>
        </w:rPr>
        <w:t xml:space="preserve">Die </w:t>
      </w:r>
      <w:r>
        <w:rPr>
          <w:rFonts w:ascii="Arial" w:hAnsi="Arial" w:cs="Arial"/>
          <w:sz w:val="28"/>
          <w:szCs w:val="28"/>
          <w:u w:val="single"/>
        </w:rPr>
        <w:t>Inhaltskarten</w:t>
      </w:r>
      <w:r>
        <w:rPr>
          <w:rFonts w:ascii="Arial" w:hAnsi="Arial" w:cs="Arial"/>
          <w:sz w:val="28"/>
          <w:szCs w:val="28"/>
        </w:rPr>
        <w:t xml:space="preserve"> in einer zweiten Farbe können wichtige Begriffe oder Teilüberschriften zu den jeweiligen Lesetextabschnitten enthalten.</w:t>
      </w:r>
    </w:p>
    <w:p w:rsidR="00B56A25" w:rsidRDefault="00B56A25" w:rsidP="00B56A25">
      <w:pPr>
        <w:spacing w:before="0"/>
        <w:jc w:val="both"/>
        <w:rPr>
          <w:rFonts w:ascii="Arial" w:hAnsi="Arial" w:cs="Arial"/>
          <w:sz w:val="4"/>
          <w:szCs w:val="4"/>
        </w:rPr>
      </w:pPr>
    </w:p>
    <w:p w:rsidR="00B56A25" w:rsidRDefault="00B56A25" w:rsidP="00B56A25">
      <w:pPr>
        <w:pStyle w:val="Listenabsatz"/>
        <w:numPr>
          <w:ilvl w:val="0"/>
          <w:numId w:val="16"/>
        </w:numPr>
        <w:jc w:val="both"/>
        <w:rPr>
          <w:rFonts w:ascii="Arial" w:hAnsi="Arial" w:cs="Arial"/>
          <w:sz w:val="28"/>
          <w:szCs w:val="28"/>
        </w:rPr>
      </w:pPr>
      <w:r>
        <w:rPr>
          <w:rFonts w:ascii="Arial" w:hAnsi="Arial" w:cs="Arial"/>
          <w:sz w:val="28"/>
          <w:szCs w:val="28"/>
        </w:rPr>
        <w:t xml:space="preserve">Die </w:t>
      </w:r>
      <w:r>
        <w:rPr>
          <w:rFonts w:ascii="Arial" w:hAnsi="Arial" w:cs="Arial"/>
          <w:sz w:val="28"/>
          <w:szCs w:val="28"/>
          <w:u w:val="single"/>
        </w:rPr>
        <w:t>Bildkarten</w:t>
      </w:r>
      <w:r>
        <w:rPr>
          <w:rFonts w:ascii="Arial" w:hAnsi="Arial" w:cs="Arial"/>
          <w:sz w:val="28"/>
          <w:szCs w:val="28"/>
        </w:rPr>
        <w:t xml:space="preserve"> in einer dritten Farbe zeigen zum Inhalt passende Bilder (z. B. Gegenstände, kurze Szenen etc.), </w:t>
      </w:r>
    </w:p>
    <w:p w:rsidR="00B56A25" w:rsidRPr="00B45E29" w:rsidRDefault="00B56A25" w:rsidP="00B56A25">
      <w:pPr>
        <w:pStyle w:val="Listenabsatz"/>
        <w:rPr>
          <w:rFonts w:ascii="Arial" w:hAnsi="Arial" w:cs="Arial"/>
          <w:sz w:val="28"/>
          <w:szCs w:val="28"/>
        </w:rPr>
      </w:pPr>
    </w:p>
    <w:p w:rsidR="00B56A25" w:rsidRPr="00B45E29" w:rsidRDefault="00B56A25" w:rsidP="00B56A25">
      <w:pPr>
        <w:pStyle w:val="Listenabsatz"/>
        <w:jc w:val="both"/>
        <w:rPr>
          <w:rFonts w:ascii="Arial" w:hAnsi="Arial" w:cs="Arial"/>
          <w:i/>
          <w:sz w:val="28"/>
          <w:szCs w:val="28"/>
        </w:rPr>
      </w:pPr>
      <w:r w:rsidRPr="00B45E29">
        <w:rPr>
          <w:rFonts w:ascii="Arial" w:hAnsi="Arial" w:cs="Arial"/>
          <w:i/>
          <w:sz w:val="28"/>
          <w:szCs w:val="28"/>
        </w:rPr>
        <w:t>(Beispiel-</w:t>
      </w:r>
      <w:r>
        <w:rPr>
          <w:rFonts w:ascii="Arial" w:hAnsi="Arial" w:cs="Arial"/>
          <w:i/>
          <w:sz w:val="28"/>
          <w:szCs w:val="28"/>
        </w:rPr>
        <w:t>K</w:t>
      </w:r>
      <w:r w:rsidRPr="00B45E29">
        <w:rPr>
          <w:rFonts w:ascii="Arial" w:hAnsi="Arial" w:cs="Arial"/>
          <w:i/>
          <w:sz w:val="28"/>
          <w:szCs w:val="28"/>
        </w:rPr>
        <w:t>arten finden sich im Anhang.)</w:t>
      </w:r>
    </w:p>
    <w:p w:rsidR="00B56A25" w:rsidRDefault="00B56A25" w:rsidP="00B56A25">
      <w:pPr>
        <w:spacing w:before="0"/>
        <w:jc w:val="both"/>
        <w:rPr>
          <w:rFonts w:ascii="Arial" w:hAnsi="Arial" w:cs="Arial"/>
          <w:sz w:val="28"/>
          <w:szCs w:val="28"/>
        </w:rPr>
      </w:pPr>
      <w:r>
        <w:rPr>
          <w:rFonts w:ascii="Arial" w:hAnsi="Arial" w:cs="Arial"/>
          <w:sz w:val="28"/>
          <w:szCs w:val="28"/>
        </w:rPr>
        <w:t xml:space="preserve">Weiterhin: </w:t>
      </w:r>
    </w:p>
    <w:p w:rsidR="00B56A25" w:rsidRDefault="00B56A25" w:rsidP="00B56A25">
      <w:pPr>
        <w:pStyle w:val="Listenabsatz"/>
        <w:numPr>
          <w:ilvl w:val="0"/>
          <w:numId w:val="15"/>
        </w:numPr>
        <w:jc w:val="both"/>
        <w:rPr>
          <w:rFonts w:ascii="Arial" w:hAnsi="Arial" w:cs="Arial"/>
          <w:sz w:val="28"/>
          <w:szCs w:val="28"/>
        </w:rPr>
      </w:pPr>
      <w:r>
        <w:rPr>
          <w:rFonts w:ascii="Arial" w:hAnsi="Arial" w:cs="Arial"/>
          <w:sz w:val="28"/>
          <w:szCs w:val="28"/>
        </w:rPr>
        <w:t>Magnete in Zahl der Karten.</w:t>
      </w:r>
    </w:p>
    <w:p w:rsidR="00B56A25" w:rsidRDefault="00B56A25" w:rsidP="00B56A25">
      <w:pPr>
        <w:pStyle w:val="Listenabsatz"/>
        <w:numPr>
          <w:ilvl w:val="0"/>
          <w:numId w:val="15"/>
        </w:numPr>
        <w:jc w:val="both"/>
        <w:rPr>
          <w:rFonts w:ascii="Arial" w:hAnsi="Arial" w:cs="Arial"/>
          <w:sz w:val="28"/>
          <w:szCs w:val="28"/>
        </w:rPr>
      </w:pPr>
      <w:r>
        <w:rPr>
          <w:rFonts w:ascii="Arial" w:hAnsi="Arial" w:cs="Arial"/>
          <w:sz w:val="28"/>
          <w:szCs w:val="28"/>
        </w:rPr>
        <w:t>Textkopien in Klassenstärke für die weitere Textarbeit</w:t>
      </w:r>
    </w:p>
    <w:p w:rsidR="00B56A25" w:rsidRDefault="00B56A25" w:rsidP="00B56A25">
      <w:pPr>
        <w:spacing w:before="0"/>
        <w:jc w:val="both"/>
        <w:rPr>
          <w:rFonts w:ascii="Arial" w:hAnsi="Arial" w:cs="Arial"/>
          <w:sz w:val="28"/>
          <w:szCs w:val="28"/>
        </w:rPr>
      </w:pPr>
      <w:bookmarkStart w:id="0" w:name="_GoBack"/>
      <w:bookmarkEnd w:id="0"/>
    </w:p>
    <w:p w:rsidR="00B56A25" w:rsidRDefault="00B56A25" w:rsidP="00B56A25">
      <w:pPr>
        <w:spacing w:before="0"/>
        <w:jc w:val="both"/>
        <w:rPr>
          <w:rFonts w:ascii="Arial" w:hAnsi="Arial" w:cs="Arial"/>
          <w:sz w:val="28"/>
          <w:szCs w:val="28"/>
        </w:rPr>
      </w:pPr>
      <w:r>
        <w:rPr>
          <w:rFonts w:ascii="Arial" w:hAnsi="Arial" w:cs="Arial"/>
          <w:sz w:val="28"/>
          <w:szCs w:val="28"/>
        </w:rPr>
        <w:t>Durchführung:</w:t>
      </w:r>
    </w:p>
    <w:p w:rsidR="00B56A25" w:rsidRDefault="00B56A25" w:rsidP="00B56A25">
      <w:pPr>
        <w:spacing w:before="0"/>
        <w:jc w:val="both"/>
        <w:rPr>
          <w:rFonts w:ascii="Arial" w:hAnsi="Arial" w:cs="Arial"/>
          <w:sz w:val="28"/>
          <w:szCs w:val="28"/>
        </w:rPr>
      </w:pPr>
      <w:r>
        <w:rPr>
          <w:rFonts w:ascii="Arial" w:hAnsi="Arial" w:cs="Arial"/>
          <w:sz w:val="28"/>
          <w:szCs w:val="28"/>
        </w:rPr>
        <w:t xml:space="preserve">Hinweis: </w:t>
      </w:r>
    </w:p>
    <w:p w:rsidR="00B56A25" w:rsidRDefault="00B56A25" w:rsidP="00B56A25">
      <w:pPr>
        <w:spacing w:before="0"/>
        <w:jc w:val="both"/>
        <w:rPr>
          <w:rFonts w:ascii="Arial" w:hAnsi="Arial" w:cs="Arial"/>
          <w:sz w:val="28"/>
          <w:szCs w:val="28"/>
        </w:rPr>
      </w:pPr>
      <w:r>
        <w:rPr>
          <w:rFonts w:ascii="Arial" w:hAnsi="Arial" w:cs="Arial"/>
          <w:sz w:val="28"/>
          <w:szCs w:val="28"/>
        </w:rPr>
        <w:t>Es bietet sich an, die Lesekarten den stärkeren Leserinnen und Lesern der Klasse zu geben, da es wichtig ist, dass der Lesetext hörend gut erfasst werden kann.</w:t>
      </w:r>
    </w:p>
    <w:p w:rsidR="00B56A25" w:rsidRDefault="00B56A25" w:rsidP="00B56A25">
      <w:pPr>
        <w:spacing w:before="0"/>
        <w:jc w:val="both"/>
        <w:rPr>
          <w:rFonts w:ascii="Arial" w:hAnsi="Arial" w:cs="Arial"/>
          <w:sz w:val="28"/>
          <w:szCs w:val="28"/>
        </w:rPr>
      </w:pPr>
      <w:r>
        <w:rPr>
          <w:rFonts w:ascii="Arial" w:hAnsi="Arial" w:cs="Arial"/>
          <w:sz w:val="28"/>
          <w:szCs w:val="28"/>
        </w:rPr>
        <w:t xml:space="preserve">Alle Karten werden verdeckt an die Schülerinnen und Schüler verteilt. Je nach Kartenanzahl und Klassenstärke kann eine Schülerin bzw. ein Schüler auch zwei oder mehr Karten haben. Wichtig dabei ist nur, dass niemand gleichzeitig eine Textkarte erhält und gleichzeitig die dazugehörige Inhalts- oder Bildkarte bekommt. </w:t>
      </w:r>
    </w:p>
    <w:p w:rsidR="00B56A25" w:rsidRDefault="00B56A25" w:rsidP="00B56A25">
      <w:pPr>
        <w:spacing w:before="0"/>
        <w:jc w:val="both"/>
        <w:rPr>
          <w:rFonts w:ascii="Arial" w:hAnsi="Arial" w:cs="Arial"/>
          <w:sz w:val="28"/>
          <w:szCs w:val="28"/>
        </w:rPr>
      </w:pPr>
    </w:p>
    <w:p w:rsidR="00B56A25" w:rsidRDefault="00B56A25" w:rsidP="00B56A25">
      <w:pPr>
        <w:spacing w:before="0"/>
        <w:jc w:val="both"/>
        <w:rPr>
          <w:rFonts w:ascii="Arial" w:hAnsi="Arial" w:cs="Arial"/>
          <w:sz w:val="28"/>
          <w:szCs w:val="28"/>
        </w:rPr>
      </w:pPr>
      <w:r>
        <w:rPr>
          <w:rFonts w:ascii="Arial" w:hAnsi="Arial" w:cs="Arial"/>
          <w:sz w:val="28"/>
          <w:szCs w:val="28"/>
        </w:rPr>
        <w:lastRenderedPageBreak/>
        <w:t>Nun werden alle Schülerinnen und Schüler mit Textkarten (Farbe 1) aufgefordert, ihre Karte umzudrehen. Die Karte mit der Überschrift und dem ersten Textabschnitt markiert den Anfang. Im Folgenden müssen alle Schülerinnen und Schüler mit Textkarte genau zuhören, um den Signalsatz, mit dem der vorausgehende Leser/die vorausgehende Leserin das Lesen beendet, als Startsignal für den eigenen Lesebeginn zu erkennen. Das Lesen geht in gleicher Weise weiter, bis der gesamte Text erlesen wurde.</w:t>
      </w:r>
    </w:p>
    <w:p w:rsidR="00B56A25" w:rsidRDefault="00B56A25" w:rsidP="00B56A25">
      <w:pPr>
        <w:spacing w:before="0"/>
        <w:jc w:val="both"/>
        <w:rPr>
          <w:rFonts w:ascii="Arial" w:hAnsi="Arial" w:cs="Arial"/>
          <w:sz w:val="28"/>
          <w:szCs w:val="28"/>
        </w:rPr>
      </w:pPr>
      <w:r>
        <w:rPr>
          <w:rFonts w:ascii="Arial" w:hAnsi="Arial" w:cs="Arial"/>
          <w:sz w:val="28"/>
          <w:szCs w:val="28"/>
        </w:rPr>
        <w:t>Vor Beginn des Lesens dürfen noch die Schülerinnen und Schüler mit Inhaltskarte (Farbe 2) ihre Karte umdrehen. Sie erhalten den Auftrag, während des Lesevortrags herauszuhören, wann das Gehörte und der eigene Inhaltsbegriff zusammenpassen. Wenn die entsprechende Textstelle erkannt ist, darf die Schülerin/der Schüler still zur Tafel gehen und die eigene Inhaltskarte befestigen. So werden nach und nach alle Inhaltskarten untereinander an der Tafel angebracht und machen so die zentralen Aussagen des Textes sichtbar.</w:t>
      </w:r>
    </w:p>
    <w:p w:rsidR="00B56A25" w:rsidRDefault="00B56A25" w:rsidP="00B56A25">
      <w:pPr>
        <w:spacing w:before="0"/>
        <w:jc w:val="both"/>
        <w:rPr>
          <w:rFonts w:ascii="Arial" w:hAnsi="Arial" w:cs="Arial"/>
          <w:sz w:val="28"/>
          <w:szCs w:val="28"/>
        </w:rPr>
      </w:pPr>
      <w:r>
        <w:rPr>
          <w:rFonts w:ascii="Arial" w:hAnsi="Arial" w:cs="Arial"/>
          <w:sz w:val="28"/>
          <w:szCs w:val="28"/>
        </w:rPr>
        <w:t xml:space="preserve">Nach Ende des Lesevortrags drehen nun die Schülerinnen und Schüler mit Bildkarten (dritte Farbe) ihre Karten um und bringen diese der Reihe nach in einen Zusammenhang zu Text und Inhaltskarten. Sie heften ihre Karten neben die jeweilige Inhaltskarte und erklären, den Zusammenhang zwischen Inhaltskarte und Bildkarte. Auf diese Weise wird der Textinhalt für alle noch einmal aufgearbeitet. </w:t>
      </w:r>
    </w:p>
    <w:p w:rsidR="00B56A25" w:rsidRDefault="00B56A25" w:rsidP="00B56A25">
      <w:pPr>
        <w:spacing w:before="0"/>
        <w:jc w:val="both"/>
        <w:rPr>
          <w:rFonts w:ascii="Arial" w:hAnsi="Arial" w:cs="Arial"/>
          <w:sz w:val="28"/>
          <w:szCs w:val="28"/>
        </w:rPr>
      </w:pPr>
    </w:p>
    <w:p w:rsidR="00B56A25" w:rsidRDefault="00B56A25" w:rsidP="00B56A25">
      <w:pPr>
        <w:spacing w:before="0"/>
        <w:jc w:val="both"/>
        <w:rPr>
          <w:rFonts w:ascii="Arial" w:hAnsi="Arial" w:cs="Arial"/>
          <w:sz w:val="28"/>
          <w:szCs w:val="28"/>
        </w:rPr>
      </w:pPr>
      <w:r>
        <w:rPr>
          <w:rFonts w:ascii="Arial" w:hAnsi="Arial" w:cs="Arial"/>
          <w:sz w:val="28"/>
          <w:szCs w:val="28"/>
        </w:rPr>
        <w:t xml:space="preserve">Ziel: </w:t>
      </w:r>
    </w:p>
    <w:p w:rsidR="00B56A25" w:rsidRDefault="00B56A25" w:rsidP="00B56A25">
      <w:pPr>
        <w:spacing w:before="0"/>
        <w:jc w:val="both"/>
        <w:rPr>
          <w:rFonts w:ascii="Arial" w:hAnsi="Arial" w:cs="Arial"/>
          <w:sz w:val="28"/>
          <w:szCs w:val="28"/>
        </w:rPr>
      </w:pPr>
      <w:r>
        <w:rPr>
          <w:rFonts w:ascii="Arial" w:hAnsi="Arial" w:cs="Arial"/>
          <w:sz w:val="28"/>
          <w:szCs w:val="28"/>
        </w:rPr>
        <w:t>Die Methode arbeitet mehrkanalig (audiovisuell]: Neben dem Lesetraining werde das sinnerfassende Zuhören und das gedankliche Verarbeiten des Gehörten trainiert.</w:t>
      </w:r>
    </w:p>
    <w:p w:rsidR="00B56A25" w:rsidRDefault="00B56A25" w:rsidP="00B56A25">
      <w:pPr>
        <w:spacing w:before="0"/>
        <w:jc w:val="both"/>
        <w:rPr>
          <w:rFonts w:ascii="Arial" w:hAnsi="Arial" w:cs="Arial"/>
          <w:sz w:val="28"/>
          <w:szCs w:val="28"/>
        </w:rPr>
      </w:pPr>
      <w:r>
        <w:rPr>
          <w:rFonts w:ascii="Arial" w:hAnsi="Arial" w:cs="Arial"/>
          <w:sz w:val="28"/>
          <w:szCs w:val="28"/>
        </w:rPr>
        <w:t>Die Inhalts- und Bildkarten ermöglichen es, den Textinhalt zu erschließen und durch die Veranschaulichung auch gut zu erfassen.</w:t>
      </w:r>
    </w:p>
    <w:p w:rsidR="00B56A25" w:rsidRDefault="00B56A25" w:rsidP="00B56A25">
      <w:pPr>
        <w:spacing w:before="0"/>
        <w:jc w:val="both"/>
        <w:rPr>
          <w:rFonts w:ascii="Arial" w:hAnsi="Arial" w:cs="Arial"/>
          <w:sz w:val="28"/>
          <w:szCs w:val="28"/>
        </w:rPr>
      </w:pPr>
    </w:p>
    <w:p w:rsidR="00B56A25" w:rsidRDefault="00B56A25" w:rsidP="00B56A25">
      <w:pPr>
        <w:spacing w:before="0"/>
        <w:jc w:val="both"/>
        <w:rPr>
          <w:rFonts w:ascii="Arial" w:hAnsi="Arial" w:cs="Arial"/>
          <w:sz w:val="28"/>
          <w:szCs w:val="28"/>
        </w:rPr>
      </w:pPr>
      <w:r>
        <w:rPr>
          <w:rFonts w:ascii="Arial" w:hAnsi="Arial" w:cs="Arial"/>
          <w:sz w:val="28"/>
          <w:szCs w:val="28"/>
        </w:rPr>
        <w:t>Eine weiterführende Arbeit mit dem Text nach dem Erlesen des Textes mithilfe der Methode „Staffel-Lesen“ kann sich anschließen.</w:t>
      </w:r>
    </w:p>
    <w:p w:rsidR="00B56A25" w:rsidRDefault="00B56A25" w:rsidP="00B56A25">
      <w:pPr>
        <w:spacing w:before="0"/>
        <w:jc w:val="both"/>
        <w:rPr>
          <w:rFonts w:ascii="Arial" w:hAnsi="Arial" w:cs="Arial"/>
          <w:sz w:val="28"/>
          <w:szCs w:val="28"/>
        </w:rPr>
      </w:pPr>
    </w:p>
    <w:p w:rsidR="003F4E20" w:rsidRDefault="003F4E20">
      <w:pPr>
        <w:spacing w:before="0"/>
        <w:jc w:val="center"/>
        <w:rPr>
          <w:rFonts w:ascii="Arial" w:hAnsi="Arial" w:cs="Arial"/>
          <w:b/>
          <w:bCs/>
          <w:sz w:val="28"/>
          <w:szCs w:val="28"/>
        </w:rPr>
      </w:pPr>
    </w:p>
    <w:sectPr w:rsidR="003F4E20">
      <w:headerReference w:type="default" r:id="rId7"/>
      <w:footerReference w:type="default" r:id="rId8"/>
      <w:pgSz w:w="11906" w:h="16838" w:orient="landscape"/>
      <w:pgMar w:top="1418" w:right="1418" w:bottom="851" w:left="1418"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E20" w:rsidRDefault="00B56A25">
      <w:pPr>
        <w:spacing w:after="0" w:line="240" w:lineRule="auto"/>
      </w:pPr>
      <w:r>
        <w:separator/>
      </w:r>
    </w:p>
  </w:endnote>
  <w:endnote w:type="continuationSeparator" w:id="0">
    <w:p w:rsidR="003F4E20" w:rsidRDefault="00B5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altName w:val="Calibri"/>
    <w:panose1 w:val="020B0504020202020204"/>
    <w:charset w:val="00"/>
    <w:family w:val="swiss"/>
    <w:pitch w:val="variable"/>
    <w:sig w:usb0="E4838EFF" w:usb1="4200FDFF" w:usb2="000030A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E20" w:rsidRDefault="00B56A25">
    <w:pPr>
      <w:pStyle w:val="Fuzeile"/>
      <w:jc w:val="center"/>
    </w:pPr>
    <w:r>
      <w:t xml:space="preserve">Seite </w:t>
    </w:r>
    <w:r>
      <w:fldChar w:fldCharType="begin"/>
    </w:r>
    <w:r>
      <w:instrText xml:space="preserve"> PAGE   \* MERGEFORMAT </w:instrText>
    </w:r>
    <w:r>
      <w:fldChar w:fldCharType="separate"/>
    </w:r>
    <w:r>
      <w:t>1</w:t>
    </w:r>
    <w:r>
      <w:fldChar w:fldCharType="end"/>
    </w:r>
    <w:r>
      <w:t xml:space="preserve"> von </w:t>
    </w:r>
    <w:r>
      <w:fldChar w:fldCharType="begin"/>
    </w:r>
    <w:r>
      <w:instrText>NUMPAGES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E20" w:rsidRDefault="00B56A25">
      <w:pPr>
        <w:spacing w:after="0" w:line="240" w:lineRule="auto"/>
      </w:pPr>
      <w:r>
        <w:separator/>
      </w:r>
    </w:p>
  </w:footnote>
  <w:footnote w:type="continuationSeparator" w:id="0">
    <w:p w:rsidR="003F4E20" w:rsidRDefault="00B5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7" w:type="dxa"/>
      <w:tblInd w:w="-142" w:type="dxa"/>
      <w:tblLayout w:type="fixed"/>
      <w:tblCellMar>
        <w:left w:w="0" w:type="dxa"/>
        <w:right w:w="0" w:type="dxa"/>
      </w:tblCellMar>
      <w:tblLook w:val="01E0" w:firstRow="1" w:lastRow="1" w:firstColumn="1" w:lastColumn="1" w:noHBand="0" w:noVBand="0"/>
    </w:tblPr>
    <w:tblGrid>
      <w:gridCol w:w="2080"/>
      <w:gridCol w:w="140"/>
      <w:gridCol w:w="7137"/>
    </w:tblGrid>
    <w:tr w:rsidR="003F4E20">
      <w:trPr>
        <w:trHeight w:val="997"/>
      </w:trPr>
      <w:tc>
        <w:tcPr>
          <w:tcW w:w="2107" w:type="dxa"/>
          <w:tcBorders>
            <w:bottom w:val="single" w:sz="48" w:space="0" w:color="C0C0C0"/>
            <w:right w:val="single" w:sz="48" w:space="0" w:color="C0C0C0"/>
          </w:tcBorders>
        </w:tcPr>
        <w:p w:rsidR="003F4E20" w:rsidRDefault="00B56A25">
          <w:pPr>
            <w:pStyle w:val="Kopfzeile"/>
            <w:tabs>
              <w:tab w:val="clear" w:pos="4536"/>
              <w:tab w:val="clear" w:pos="9072"/>
              <w:tab w:val="center" w:pos="1076"/>
            </w:tabs>
            <w:rPr>
              <w:rFonts w:ascii="Arial" w:hAnsi="Arial" w:cs="Arial"/>
            </w:rPr>
          </w:pPr>
          <w:r>
            <w:rPr>
              <w:rFonts w:ascii="Arial" w:hAnsi="Arial" w:cs="Arial"/>
              <w:noProof/>
              <w:lang w:eastAsia="de-DE"/>
            </w:rPr>
            <mc:AlternateContent>
              <mc:Choice Requires="wpg">
                <w:drawing>
                  <wp:anchor distT="0" distB="0" distL="114300" distR="114300" simplePos="0" relativeHeight="251659264" behindDoc="0" locked="0" layoutInCell="1" allowOverlap="1">
                    <wp:simplePos x="0" y="0"/>
                    <wp:positionH relativeFrom="column">
                      <wp:posOffset>-22860</wp:posOffset>
                    </wp:positionH>
                    <wp:positionV relativeFrom="paragraph">
                      <wp:posOffset>48260</wp:posOffset>
                    </wp:positionV>
                    <wp:extent cx="549142" cy="577850"/>
                    <wp:effectExtent l="0" t="0" r="3810"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pic:cNvPicPr>
                          </pic:nvPicPr>
                          <pic:blipFill>
                            <a:blip r:embed="rId1"/>
                            <a:srcRect l="-9460" t="-6369" r="-8108" b="-10253"/>
                            <a:stretch/>
                          </pic:blipFill>
                          <pic:spPr bwMode="auto">
                            <a:xfrm>
                              <a:off x="0" y="0"/>
                              <a:ext cx="552450" cy="581331"/>
                            </a:xfrm>
                            <a:prstGeom prst="diamond">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1.80pt;mso-position-horizontal:absolute;mso-position-vertical-relative:text;margin-top:3.80pt;mso-position-vertical:absolute;width:43.24pt;height:45.50pt;mso-wrap-distance-left:9.00pt;mso-wrap-distance-top:0.00pt;mso-wrap-distance-right:9.00pt;mso-wrap-distance-bottom:0.00pt;z-index:1;" stroked="f">
                    <v:imagedata r:id="rId2" o:title=""/>
                    <o:lock v:ext="edit" rotation="t"/>
                  </v:shape>
                </w:pict>
              </mc:Fallback>
            </mc:AlternateContent>
          </w:r>
          <w:r>
            <w:rPr>
              <w:noProof/>
              <w:lang w:eastAsia="de-DE"/>
            </w:rPr>
            <mc:AlternateContent>
              <mc:Choice Requires="wpg">
                <w:drawing>
                  <wp:anchor distT="0" distB="0" distL="114300" distR="114300" simplePos="0" relativeHeight="251658239" behindDoc="0" locked="0" layoutInCell="1" allowOverlap="1">
                    <wp:simplePos x="0" y="0"/>
                    <wp:positionH relativeFrom="column">
                      <wp:posOffset>401023</wp:posOffset>
                    </wp:positionH>
                    <wp:positionV relativeFrom="paragraph">
                      <wp:posOffset>157790</wp:posOffset>
                    </wp:positionV>
                    <wp:extent cx="855023" cy="419739"/>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3"/>
                            <a:srcRect l="14013" t="20476" r="15924" b="18099"/>
                            <a:stretch/>
                          </pic:blipFill>
                          <pic:spPr bwMode="auto">
                            <a:xfrm>
                              <a:off x="0" y="0"/>
                              <a:ext cx="857457" cy="420934"/>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39;o:allowoverlap:true;o:allowincell:true;mso-position-horizontal-relative:text;margin-left:31.58pt;mso-position-horizontal:absolute;mso-position-vertical-relative:text;margin-top:12.42pt;mso-position-vertical:absolute;width:67.32pt;height:33.05pt;mso-wrap-distance-left:9.00pt;mso-wrap-distance-top:0.00pt;mso-wrap-distance-right:9.00pt;mso-wrap-distance-bottom:0.00pt;z-index:1;" stroked="f">
                    <v:imagedata r:id="rId4" o:title=""/>
                    <o:lock v:ext="edit" rotation="t"/>
                  </v:shape>
                </w:pict>
              </mc:Fallback>
            </mc:AlternateContent>
          </w:r>
          <w:r>
            <w:rPr>
              <w:rFonts w:ascii="Arial" w:hAnsi="Arial" w:cs="Arial"/>
            </w:rPr>
            <w:tab/>
          </w:r>
        </w:p>
      </w:tc>
      <w:tc>
        <w:tcPr>
          <w:tcW w:w="20" w:type="dxa"/>
          <w:tcBorders>
            <w:left w:val="single" w:sz="48" w:space="0" w:color="C0C0C0"/>
            <w:right w:val="single" w:sz="48" w:space="0" w:color="008000"/>
          </w:tcBorders>
        </w:tcPr>
        <w:p w:rsidR="003F4E20" w:rsidRDefault="003F4E20">
          <w:pPr>
            <w:pStyle w:val="Kopfzeile"/>
            <w:rPr>
              <w:rFonts w:ascii="Arial" w:hAnsi="Arial" w:cs="Arial"/>
            </w:rPr>
          </w:pPr>
        </w:p>
      </w:tc>
      <w:tc>
        <w:tcPr>
          <w:tcW w:w="7230" w:type="dxa"/>
          <w:tcBorders>
            <w:left w:val="single" w:sz="48" w:space="0" w:color="008000"/>
            <w:bottom w:val="single" w:sz="48" w:space="0" w:color="008000"/>
          </w:tcBorders>
        </w:tcPr>
        <w:p w:rsidR="003F4E20" w:rsidRDefault="00B56A25">
          <w:pPr>
            <w:pStyle w:val="Kopfzeile"/>
            <w:rPr>
              <w:rFonts w:ascii="Arial" w:hAnsi="Arial" w:cs="Arial"/>
              <w:sz w:val="26"/>
              <w:szCs w:val="26"/>
            </w:rPr>
          </w:pPr>
          <w:r>
            <w:rPr>
              <w:rFonts w:ascii="Arial" w:hAnsi="Arial" w:cs="Arial"/>
              <w:sz w:val="26"/>
              <w:szCs w:val="26"/>
            </w:rPr>
            <w:t>Leseförderung als Aufgabe aller Fächer – Methodenkarten</w:t>
          </w:r>
        </w:p>
      </w:tc>
    </w:tr>
  </w:tbl>
  <w:p w:rsidR="003F4E20" w:rsidRDefault="003F4E20">
    <w:pPr>
      <w:pStyle w:val="Kopfzeileunten"/>
      <w:ind w:left="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CA8"/>
    <w:multiLevelType w:val="multilevel"/>
    <w:tmpl w:val="5F76A03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05DE56E2"/>
    <w:multiLevelType w:val="multilevel"/>
    <w:tmpl w:val="B6649478"/>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36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36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360"/>
      </w:pPr>
    </w:lvl>
  </w:abstractNum>
  <w:abstractNum w:abstractNumId="2" w15:restartNumberingAfterBreak="0">
    <w:nsid w:val="05EB2681"/>
    <w:multiLevelType w:val="multilevel"/>
    <w:tmpl w:val="A210D162"/>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 w15:restartNumberingAfterBreak="0">
    <w:nsid w:val="1F665635"/>
    <w:multiLevelType w:val="multilevel"/>
    <w:tmpl w:val="F44EE35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36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36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360"/>
      </w:pPr>
    </w:lvl>
  </w:abstractNum>
  <w:abstractNum w:abstractNumId="4" w15:restartNumberingAfterBreak="0">
    <w:nsid w:val="21EB66A9"/>
    <w:multiLevelType w:val="multilevel"/>
    <w:tmpl w:val="4C68A454"/>
    <w:lvl w:ilvl="0">
      <w:start w:val="1"/>
      <w:numFmt w:val="decimal"/>
      <w:suff w:val="space"/>
      <w:lvlText w:val="%1."/>
      <w:lvlJc w:val="left"/>
      <w:pPr>
        <w:ind w:left="218" w:hanging="360"/>
      </w:pPr>
    </w:lvl>
    <w:lvl w:ilvl="1">
      <w:start w:val="1"/>
      <w:numFmt w:val="lowerLetter"/>
      <w:suff w:val="space"/>
      <w:lvlText w:val="%2."/>
      <w:lvlJc w:val="left"/>
      <w:pPr>
        <w:ind w:left="938" w:hanging="360"/>
      </w:pPr>
    </w:lvl>
    <w:lvl w:ilvl="2">
      <w:start w:val="1"/>
      <w:numFmt w:val="lowerRoman"/>
      <w:suff w:val="space"/>
      <w:lvlText w:val="%3."/>
      <w:lvlJc w:val="right"/>
      <w:pPr>
        <w:ind w:left="1658" w:hanging="180"/>
      </w:pPr>
    </w:lvl>
    <w:lvl w:ilvl="3">
      <w:start w:val="1"/>
      <w:numFmt w:val="decimal"/>
      <w:suff w:val="space"/>
      <w:lvlText w:val="%4."/>
      <w:lvlJc w:val="left"/>
      <w:pPr>
        <w:ind w:left="2378" w:hanging="360"/>
      </w:pPr>
    </w:lvl>
    <w:lvl w:ilvl="4">
      <w:start w:val="1"/>
      <w:numFmt w:val="lowerLetter"/>
      <w:suff w:val="space"/>
      <w:lvlText w:val="%5."/>
      <w:lvlJc w:val="left"/>
      <w:pPr>
        <w:ind w:left="3098" w:hanging="360"/>
      </w:pPr>
    </w:lvl>
    <w:lvl w:ilvl="5">
      <w:start w:val="1"/>
      <w:numFmt w:val="lowerRoman"/>
      <w:suff w:val="space"/>
      <w:lvlText w:val="%6."/>
      <w:lvlJc w:val="right"/>
      <w:pPr>
        <w:ind w:left="3818" w:hanging="180"/>
      </w:pPr>
    </w:lvl>
    <w:lvl w:ilvl="6">
      <w:start w:val="1"/>
      <w:numFmt w:val="decimal"/>
      <w:suff w:val="space"/>
      <w:lvlText w:val="%7."/>
      <w:lvlJc w:val="left"/>
      <w:pPr>
        <w:ind w:left="4538" w:hanging="360"/>
      </w:pPr>
    </w:lvl>
    <w:lvl w:ilvl="7">
      <w:start w:val="1"/>
      <w:numFmt w:val="lowerLetter"/>
      <w:suff w:val="space"/>
      <w:lvlText w:val="%8."/>
      <w:lvlJc w:val="left"/>
      <w:pPr>
        <w:ind w:left="5258" w:hanging="360"/>
      </w:pPr>
    </w:lvl>
    <w:lvl w:ilvl="8">
      <w:start w:val="1"/>
      <w:numFmt w:val="lowerRoman"/>
      <w:suff w:val="space"/>
      <w:lvlText w:val="%9."/>
      <w:lvlJc w:val="right"/>
      <w:pPr>
        <w:ind w:left="5978" w:hanging="180"/>
      </w:pPr>
    </w:lvl>
  </w:abstractNum>
  <w:abstractNum w:abstractNumId="5" w15:restartNumberingAfterBreak="0">
    <w:nsid w:val="2F156226"/>
    <w:multiLevelType w:val="multilevel"/>
    <w:tmpl w:val="14288752"/>
    <w:lvl w:ilvl="0">
      <w:start w:val="1"/>
      <w:numFmt w:val="bullet"/>
      <w:suff w:val="space"/>
      <w:lvlText w:val="ü"/>
      <w:lvlJc w:val="left"/>
      <w:pPr>
        <w:ind w:left="720" w:hanging="360"/>
      </w:pPr>
      <w:rPr>
        <w:rFonts w:ascii="Wingdings" w:eastAsia="Wingdings" w:hAnsi="Wingdings" w:cs="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6" w15:restartNumberingAfterBreak="0">
    <w:nsid w:val="32687487"/>
    <w:multiLevelType w:val="multilevel"/>
    <w:tmpl w:val="674AD8B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36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36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360"/>
      </w:pPr>
    </w:lvl>
  </w:abstractNum>
  <w:abstractNum w:abstractNumId="7" w15:restartNumberingAfterBreak="0">
    <w:nsid w:val="4F314CB5"/>
    <w:multiLevelType w:val="multilevel"/>
    <w:tmpl w:val="DF6E296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63508E7"/>
    <w:multiLevelType w:val="multilevel"/>
    <w:tmpl w:val="6D469E1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57A51B2A"/>
    <w:multiLevelType w:val="multilevel"/>
    <w:tmpl w:val="890E4C06"/>
    <w:lvl w:ilvl="0">
      <w:start w:val="1"/>
      <w:numFmt w:val="bullet"/>
      <w:suff w:val="space"/>
      <w:lvlText w:val=""/>
      <w:lvlJc w:val="left"/>
      <w:pPr>
        <w:ind w:left="2844" w:hanging="360"/>
      </w:pPr>
      <w:rPr>
        <w:rFonts w:ascii="Symbol" w:hAnsi="Symbol" w:hint="default"/>
      </w:rPr>
    </w:lvl>
    <w:lvl w:ilvl="1">
      <w:start w:val="1"/>
      <w:numFmt w:val="bullet"/>
      <w:suff w:val="space"/>
      <w:lvlText w:val="o"/>
      <w:lvlJc w:val="left"/>
      <w:pPr>
        <w:ind w:left="3564" w:hanging="360"/>
      </w:pPr>
      <w:rPr>
        <w:rFonts w:ascii="Courier New" w:hAnsi="Courier New" w:cs="Courier New" w:hint="default"/>
      </w:rPr>
    </w:lvl>
    <w:lvl w:ilvl="2">
      <w:start w:val="1"/>
      <w:numFmt w:val="bullet"/>
      <w:suff w:val="space"/>
      <w:lvlText w:val=""/>
      <w:lvlJc w:val="left"/>
      <w:pPr>
        <w:ind w:left="4284" w:hanging="360"/>
      </w:pPr>
      <w:rPr>
        <w:rFonts w:ascii="Wingdings" w:hAnsi="Wingdings" w:hint="default"/>
      </w:rPr>
    </w:lvl>
    <w:lvl w:ilvl="3">
      <w:start w:val="1"/>
      <w:numFmt w:val="bullet"/>
      <w:suff w:val="space"/>
      <w:lvlText w:val=""/>
      <w:lvlJc w:val="left"/>
      <w:pPr>
        <w:ind w:left="5004" w:hanging="360"/>
      </w:pPr>
      <w:rPr>
        <w:rFonts w:ascii="Symbol" w:hAnsi="Symbol" w:hint="default"/>
      </w:rPr>
    </w:lvl>
    <w:lvl w:ilvl="4">
      <w:start w:val="1"/>
      <w:numFmt w:val="bullet"/>
      <w:suff w:val="space"/>
      <w:lvlText w:val="o"/>
      <w:lvlJc w:val="left"/>
      <w:pPr>
        <w:ind w:left="5724" w:hanging="360"/>
      </w:pPr>
      <w:rPr>
        <w:rFonts w:ascii="Courier New" w:hAnsi="Courier New" w:cs="Courier New" w:hint="default"/>
      </w:rPr>
    </w:lvl>
    <w:lvl w:ilvl="5">
      <w:start w:val="1"/>
      <w:numFmt w:val="bullet"/>
      <w:suff w:val="space"/>
      <w:lvlText w:val=""/>
      <w:lvlJc w:val="left"/>
      <w:pPr>
        <w:ind w:left="6444" w:hanging="360"/>
      </w:pPr>
      <w:rPr>
        <w:rFonts w:ascii="Wingdings" w:hAnsi="Wingdings" w:hint="default"/>
      </w:rPr>
    </w:lvl>
    <w:lvl w:ilvl="6">
      <w:start w:val="1"/>
      <w:numFmt w:val="bullet"/>
      <w:suff w:val="space"/>
      <w:lvlText w:val=""/>
      <w:lvlJc w:val="left"/>
      <w:pPr>
        <w:ind w:left="7164" w:hanging="360"/>
      </w:pPr>
      <w:rPr>
        <w:rFonts w:ascii="Symbol" w:hAnsi="Symbol" w:hint="default"/>
      </w:rPr>
    </w:lvl>
    <w:lvl w:ilvl="7">
      <w:start w:val="1"/>
      <w:numFmt w:val="bullet"/>
      <w:suff w:val="space"/>
      <w:lvlText w:val="o"/>
      <w:lvlJc w:val="left"/>
      <w:pPr>
        <w:ind w:left="7884" w:hanging="360"/>
      </w:pPr>
      <w:rPr>
        <w:rFonts w:ascii="Courier New" w:hAnsi="Courier New" w:cs="Courier New" w:hint="default"/>
      </w:rPr>
    </w:lvl>
    <w:lvl w:ilvl="8">
      <w:start w:val="1"/>
      <w:numFmt w:val="bullet"/>
      <w:suff w:val="space"/>
      <w:lvlText w:val=""/>
      <w:lvlJc w:val="left"/>
      <w:pPr>
        <w:ind w:left="8604" w:hanging="360"/>
      </w:pPr>
      <w:rPr>
        <w:rFonts w:ascii="Wingdings" w:hAnsi="Wingdings" w:hint="default"/>
      </w:rPr>
    </w:lvl>
  </w:abstractNum>
  <w:abstractNum w:abstractNumId="10" w15:restartNumberingAfterBreak="0">
    <w:nsid w:val="58270E43"/>
    <w:multiLevelType w:val="multilevel"/>
    <w:tmpl w:val="BD3899B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1" w15:restartNumberingAfterBreak="0">
    <w:nsid w:val="6657630C"/>
    <w:multiLevelType w:val="multilevel"/>
    <w:tmpl w:val="2C60A61C"/>
    <w:lvl w:ilvl="0">
      <w:start w:val="1"/>
      <w:numFmt w:val="bullet"/>
      <w:suff w:val="space"/>
      <w:lvlText w:val="ü"/>
      <w:lvlJc w:val="left"/>
      <w:pPr>
        <w:ind w:left="720" w:hanging="360"/>
      </w:pPr>
      <w:rPr>
        <w:rFonts w:ascii="Wingdings" w:eastAsia="Wingdings" w:hAnsi="Wingdings" w:cs="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2" w15:restartNumberingAfterBreak="0">
    <w:nsid w:val="66E409B4"/>
    <w:multiLevelType w:val="multilevel"/>
    <w:tmpl w:val="E7BA51F6"/>
    <w:lvl w:ilvl="0">
      <w:start w:val="1"/>
      <w:numFmt w:val="bullet"/>
      <w:lvlText w:val="ü"/>
      <w:lvlJc w:val="left"/>
      <w:pPr>
        <w:ind w:left="72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8334558"/>
    <w:multiLevelType w:val="multilevel"/>
    <w:tmpl w:val="0A800BF6"/>
    <w:lvl w:ilvl="0">
      <w:start w:val="1"/>
      <w:numFmt w:val="bullet"/>
      <w:suff w:val="space"/>
      <w:lvlText w:val="·"/>
      <w:lvlJc w:val="left"/>
      <w:pPr>
        <w:ind w:left="720" w:hanging="360"/>
      </w:pPr>
      <w:rPr>
        <w:rFonts w:ascii="Symbol" w:eastAsia="Symbol" w:hAnsi="Symbol" w:cs="Symbo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4" w15:restartNumberingAfterBreak="0">
    <w:nsid w:val="6CA6720F"/>
    <w:multiLevelType w:val="multilevel"/>
    <w:tmpl w:val="195E6986"/>
    <w:lvl w:ilvl="0">
      <w:start w:val="1"/>
      <w:numFmt w:val="decimal"/>
      <w:suff w:val="space"/>
      <w:lvlText w:val="%1."/>
      <w:lvlJc w:val="left"/>
      <w:pPr>
        <w:ind w:left="360" w:hanging="360"/>
      </w:p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5" w15:restartNumberingAfterBreak="0">
    <w:nsid w:val="791F6140"/>
    <w:multiLevelType w:val="multilevel"/>
    <w:tmpl w:val="2A648A7E"/>
    <w:lvl w:ilvl="0">
      <w:start w:val="1"/>
      <w:numFmt w:val="bullet"/>
      <w:lvlText w:val="ü"/>
      <w:lvlJc w:val="left"/>
      <w:pPr>
        <w:ind w:left="72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14"/>
  </w:num>
  <w:num w:numId="2">
    <w:abstractNumId w:val="10"/>
  </w:num>
  <w:num w:numId="3">
    <w:abstractNumId w:val="0"/>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11"/>
  </w:num>
  <w:num w:numId="10">
    <w:abstractNumId w:val="2"/>
  </w:num>
  <w:num w:numId="11">
    <w:abstractNumId w:val="3"/>
  </w:num>
  <w:num w:numId="12">
    <w:abstractNumId w:val="1"/>
  </w:num>
  <w:num w:numId="13">
    <w:abstractNumId w:val="6"/>
  </w:num>
  <w:num w:numId="14">
    <w:abstractNumId w:val="7"/>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E20"/>
    <w:rsid w:val="003F4E20"/>
    <w:rsid w:val="00B5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781F"/>
  <w15:docId w15:val="{02932DFF-C16D-4018-B3B1-DD228795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pPr>
      <w:keepNext/>
      <w:keepLines/>
      <w:pBdr>
        <w:top w:val="single" w:sz="4" w:space="1" w:color="000000"/>
        <w:left w:val="single" w:sz="4" w:space="4" w:color="000000"/>
        <w:bottom w:val="single" w:sz="4" w:space="1" w:color="000000"/>
        <w:right w:val="single" w:sz="4" w:space="4" w:color="000000"/>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Pr>
      <w:b/>
      <w:bCs/>
      <w:smallCaps/>
      <w:color w:val="365F91" w:themeColor="accent1" w:themeShade="BF"/>
      <w:spacing w:val="5"/>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000000"/>
        <w:left w:val="single" w:sz="4" w:space="4" w:color="000000"/>
        <w:bottom w:val="single" w:sz="4" w:space="1" w:color="000000"/>
        <w:right w:val="single" w:sz="4" w:space="4" w:color="000000"/>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eeSans" w:hAnsi="FreeSans"/>
      <w:b/>
      <w:bCs/>
      <w:lang w:eastAsia="en-US"/>
    </w:r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Martina Pennekendorf</dc:creator>
  <cp:lastModifiedBy>#lesen.bayern</cp:lastModifiedBy>
  <cp:revision>2</cp:revision>
  <dcterms:created xsi:type="dcterms:W3CDTF">2024-12-10T08:53:00Z</dcterms:created>
  <dcterms:modified xsi:type="dcterms:W3CDTF">2024-12-10T08:53:00Z</dcterms:modified>
</cp:coreProperties>
</file>