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D03C" w14:textId="11F1661F" w:rsidR="006F13D7" w:rsidRPr="00C31C17" w:rsidRDefault="00192B69" w:rsidP="00C31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Referenzialität: Texte verweisen auf andere</w:t>
      </w:r>
    </w:p>
    <w:p w14:paraId="04AE7906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34658BE2" w14:textId="1165E6B1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685"/>
      </w:tblGrid>
      <w:tr w:rsidR="006F13D7" w:rsidRPr="006F13D7" w14:paraId="2E0CAD61" w14:textId="77777777" w:rsidTr="00D03E4F">
        <w:tc>
          <w:tcPr>
            <w:tcW w:w="2375" w:type="dxa"/>
          </w:tcPr>
          <w:p w14:paraId="36B4397D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685" w:type="dxa"/>
          </w:tcPr>
          <w:p w14:paraId="3B0E48D3" w14:textId="77777777" w:rsidR="006F13D7" w:rsidRPr="006F13D7" w:rsidRDefault="00DC15F5" w:rsidP="006F13D7">
            <w:pPr>
              <w:rPr>
                <w:rFonts w:ascii="Arial" w:hAnsi="Arial" w:cs="Arial"/>
                <w:sz w:val="22"/>
                <w:highlight w:val="yellow"/>
              </w:rPr>
            </w:pPr>
            <w:r w:rsidRPr="00DC15F5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805020" w14:paraId="00EEB0F1" w14:textId="77777777" w:rsidTr="00D03E4F">
        <w:tc>
          <w:tcPr>
            <w:tcW w:w="2375" w:type="dxa"/>
          </w:tcPr>
          <w:p w14:paraId="37643D34" w14:textId="77777777" w:rsidR="006F13D7" w:rsidRPr="00805020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805020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685" w:type="dxa"/>
          </w:tcPr>
          <w:p w14:paraId="1B8CBB00" w14:textId="3570DFB6" w:rsidR="00805020" w:rsidRPr="00805020" w:rsidRDefault="00867E09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5E1A41">
              <w:rPr>
                <w:rFonts w:ascii="Arial" w:hAnsi="Arial" w:cs="Arial"/>
                <w:sz w:val="22"/>
              </w:rPr>
              <w:t>-13</w:t>
            </w:r>
          </w:p>
        </w:tc>
      </w:tr>
      <w:tr w:rsidR="006F13D7" w:rsidRPr="006F13D7" w14:paraId="68DC3A94" w14:textId="77777777" w:rsidTr="00D03E4F">
        <w:tc>
          <w:tcPr>
            <w:tcW w:w="2375" w:type="dxa"/>
          </w:tcPr>
          <w:p w14:paraId="6006BB08" w14:textId="77777777" w:rsidR="006F13D7" w:rsidRPr="002A574C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2A574C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2A574C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2A574C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685" w:type="dxa"/>
          </w:tcPr>
          <w:p w14:paraId="7D42058F" w14:textId="1F204A83" w:rsidR="006F13D7" w:rsidRPr="002A574C" w:rsidRDefault="002A574C" w:rsidP="006F13D7">
            <w:pPr>
              <w:rPr>
                <w:rFonts w:ascii="Arial" w:hAnsi="Arial" w:cs="Arial"/>
                <w:sz w:val="22"/>
              </w:rPr>
            </w:pPr>
            <w:r w:rsidRPr="002A574C">
              <w:rPr>
                <w:rFonts w:ascii="Arial" w:hAnsi="Arial" w:cs="Arial"/>
                <w:sz w:val="22"/>
              </w:rPr>
              <w:t>fächerübergreifend</w:t>
            </w:r>
          </w:p>
        </w:tc>
      </w:tr>
      <w:tr w:rsidR="006F13D7" w:rsidRPr="006F13D7" w14:paraId="6853A6C6" w14:textId="77777777" w:rsidTr="00D03E4F">
        <w:tc>
          <w:tcPr>
            <w:tcW w:w="2375" w:type="dxa"/>
          </w:tcPr>
          <w:p w14:paraId="63C034E0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685" w:type="dxa"/>
          </w:tcPr>
          <w:p w14:paraId="5FB971E7" w14:textId="656A9841" w:rsidR="006F13D7" w:rsidRPr="006F13D7" w:rsidRDefault="002A574C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 Internet veröffentlichte</w:t>
            </w:r>
            <w:r w:rsidR="00D03E4F">
              <w:rPr>
                <w:rFonts w:ascii="Arial" w:hAnsi="Arial" w:cs="Arial"/>
                <w:sz w:val="22"/>
              </w:rPr>
              <w:t xml:space="preserve"> Texte</w:t>
            </w:r>
          </w:p>
        </w:tc>
      </w:tr>
      <w:tr w:rsidR="006F13D7" w:rsidRPr="006F13D7" w14:paraId="7CC29F84" w14:textId="77777777" w:rsidTr="00D03E4F">
        <w:tc>
          <w:tcPr>
            <w:tcW w:w="2375" w:type="dxa"/>
          </w:tcPr>
          <w:p w14:paraId="6C31DD6F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685" w:type="dxa"/>
          </w:tcPr>
          <w:p w14:paraId="445AB4A2" w14:textId="311BF947" w:rsidR="00192B69" w:rsidRDefault="00C9483A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Philippe </w:t>
            </w:r>
            <w:proofErr w:type="spellStart"/>
            <w:r>
              <w:rPr>
                <w:rFonts w:ascii="Arial" w:hAnsi="Arial" w:cs="Arial"/>
                <w:sz w:val="22"/>
              </w:rPr>
              <w:t>Wampfler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="006B6CBC">
              <w:rPr>
                <w:rFonts w:ascii="Arial" w:hAnsi="Arial" w:cs="Arial"/>
                <w:sz w:val="22"/>
              </w:rPr>
              <w:t xml:space="preserve">(2019) </w:t>
            </w:r>
            <w:r>
              <w:rPr>
                <w:rFonts w:ascii="Arial" w:hAnsi="Arial" w:cs="Arial"/>
                <w:sz w:val="22"/>
              </w:rPr>
              <w:t xml:space="preserve">wirbt dafür, „das volle nicht-lineare Potential des Netzes zu nutzen“, um digitales Lesen zu einem emanzipierten Prozess zu machen. </w:t>
            </w:r>
          </w:p>
          <w:p w14:paraId="723247EA" w14:textId="652FBEB0" w:rsidR="006F13D7" w:rsidRDefault="009E4FF5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Emanzipierte Leser</w:t>
            </w:r>
            <w:r w:rsidR="00630C54">
              <w:rPr>
                <w:rFonts w:ascii="Arial" w:hAnsi="Arial" w:cs="Arial"/>
                <w:sz w:val="22"/>
              </w:rPr>
              <w:t>innen und Leser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92B69">
              <w:rPr>
                <w:rFonts w:ascii="Arial" w:hAnsi="Arial" w:cs="Arial"/>
                <w:sz w:val="22"/>
              </w:rPr>
              <w:t>vermögen Verweise zu nutzen, um z.B. eine Studie in voller Länge zu lesen, das ganze Interview anzuhören, anzuschauen oder (in der Originalsprache) nachzulesen und den Kontext einzubeziehen.</w:t>
            </w:r>
          </w:p>
          <w:p w14:paraId="75F75C29" w14:textId="77777777" w:rsidR="00192B69" w:rsidRDefault="00192B69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Gerade in </w:t>
            </w:r>
            <w:proofErr w:type="spellStart"/>
            <w:r>
              <w:rPr>
                <w:rFonts w:ascii="Arial" w:hAnsi="Arial" w:cs="Arial"/>
                <w:sz w:val="22"/>
              </w:rPr>
              <w:t>Social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-Media-Beiträgen werden Aussagen aus dem Kontext gerissen, zugespitzt formuliert oder Studien nur in Auszügen paraphrasiert. </w:t>
            </w:r>
          </w:p>
          <w:p w14:paraId="5008CD8E" w14:textId="709FEE8E" w:rsidR="00192B69" w:rsidRPr="006F13D7" w:rsidRDefault="00192B69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Digitales, also nicht-lineares, Lesen ermöglicht und erfordert die </w:t>
            </w:r>
            <w:r w:rsidR="005E1A41">
              <w:rPr>
                <w:rFonts w:ascii="Arial" w:hAnsi="Arial" w:cs="Arial"/>
                <w:sz w:val="22"/>
              </w:rPr>
              <w:t xml:space="preserve">Nutzung </w:t>
            </w:r>
            <w:r w:rsidR="00A04CEB">
              <w:rPr>
                <w:rFonts w:ascii="Arial" w:hAnsi="Arial" w:cs="Arial"/>
                <w:sz w:val="22"/>
              </w:rPr>
              <w:t xml:space="preserve">von </w:t>
            </w:r>
            <w:r w:rsidR="005E1A41">
              <w:rPr>
                <w:rFonts w:ascii="Arial" w:hAnsi="Arial" w:cs="Arial"/>
                <w:sz w:val="22"/>
              </w:rPr>
              <w:t xml:space="preserve">bzw. </w:t>
            </w:r>
            <w:r w:rsidR="00A04CEB">
              <w:rPr>
                <w:rFonts w:ascii="Arial" w:hAnsi="Arial" w:cs="Arial"/>
                <w:sz w:val="22"/>
              </w:rPr>
              <w:t xml:space="preserve">die </w:t>
            </w:r>
            <w:r w:rsidR="005E1A41">
              <w:rPr>
                <w:rFonts w:ascii="Arial" w:hAnsi="Arial" w:cs="Arial"/>
                <w:sz w:val="22"/>
              </w:rPr>
              <w:t>Suche nach Verweisen. Diese Arbeit auf der Meta-Ebene zeichnet einen kompetenten Leser in digitalen Welten aus.</w:t>
            </w:r>
          </w:p>
        </w:tc>
      </w:tr>
      <w:tr w:rsidR="00D03E4F" w:rsidRPr="004C15A5" w14:paraId="22CB7E45" w14:textId="77777777" w:rsidTr="00D03E4F">
        <w:tc>
          <w:tcPr>
            <w:tcW w:w="2375" w:type="dxa"/>
          </w:tcPr>
          <w:p w14:paraId="5B67A406" w14:textId="1FBE6C06" w:rsidR="00D03E4F" w:rsidRPr="006F13D7" w:rsidRDefault="00D03E4F" w:rsidP="006F13D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</w:p>
        </w:tc>
        <w:tc>
          <w:tcPr>
            <w:tcW w:w="6685" w:type="dxa"/>
          </w:tcPr>
          <w:p w14:paraId="3CF24526" w14:textId="2149F1CA" w:rsidR="00D03E4F" w:rsidRPr="00D03E4F" w:rsidRDefault="00D03E4F" w:rsidP="00D03E4F">
            <w:pPr>
              <w:rPr>
                <w:rFonts w:ascii="Arial" w:hAnsi="Arial" w:cs="Arial"/>
                <w:sz w:val="22"/>
              </w:rPr>
            </w:pPr>
            <w:r w:rsidRPr="00D03E4F">
              <w:rPr>
                <w:rFonts w:ascii="Arial" w:hAnsi="Arial" w:cs="Arial"/>
                <w:sz w:val="22"/>
              </w:rPr>
              <w:t>Mehr Informationen finden sich z. B. in folgenden Quellen:</w:t>
            </w:r>
          </w:p>
          <w:p w14:paraId="3EA60E36" w14:textId="101FC1D8" w:rsidR="00D03E4F" w:rsidRPr="004C15A5" w:rsidRDefault="00CE59A0" w:rsidP="00D03E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Wampfler</w:t>
            </w:r>
            <w:proofErr w:type="spellEnd"/>
            <w:r>
              <w:rPr>
                <w:rFonts w:ascii="Arial" w:hAnsi="Arial" w:cs="Arial"/>
              </w:rPr>
              <w:t xml:space="preserve">, Philippe </w:t>
            </w:r>
            <w:r w:rsidR="00D03E4F" w:rsidRPr="004C15A5">
              <w:rPr>
                <w:rFonts w:ascii="Arial" w:hAnsi="Arial" w:cs="Arial"/>
              </w:rPr>
              <w:t>(201</w:t>
            </w:r>
            <w:r>
              <w:rPr>
                <w:rFonts w:ascii="Arial" w:hAnsi="Arial" w:cs="Arial"/>
              </w:rPr>
              <w:t>9</w:t>
            </w:r>
            <w:r w:rsidR="00D03E4F" w:rsidRPr="004C15A5">
              <w:rPr>
                <w:rFonts w:ascii="Arial" w:hAnsi="Arial" w:cs="Arial"/>
              </w:rPr>
              <w:t xml:space="preserve">): </w:t>
            </w:r>
            <w:r>
              <w:rPr>
                <w:rFonts w:ascii="Arial" w:hAnsi="Arial" w:cs="Arial"/>
              </w:rPr>
              <w:t>Das Netz lesen – eine Anleitung für nicht-lineare Lektüre.</w:t>
            </w:r>
            <w:r w:rsidR="00D03E4F" w:rsidRPr="004C15A5">
              <w:rPr>
                <w:rFonts w:ascii="Arial" w:hAnsi="Arial" w:cs="Arial"/>
              </w:rPr>
              <w:t xml:space="preserve"> In: </w:t>
            </w:r>
            <w:proofErr w:type="spellStart"/>
            <w:r>
              <w:rPr>
                <w:rFonts w:ascii="Arial" w:hAnsi="Arial" w:cs="Arial"/>
              </w:rPr>
              <w:t>Krommer</w:t>
            </w:r>
            <w:proofErr w:type="spellEnd"/>
            <w:r>
              <w:rPr>
                <w:rFonts w:ascii="Arial" w:hAnsi="Arial" w:cs="Arial"/>
              </w:rPr>
              <w:t xml:space="preserve">, Axel/ Lindner, Martin/ Mihajlovic, Dejan/ </w:t>
            </w:r>
            <w:proofErr w:type="spellStart"/>
            <w:r>
              <w:rPr>
                <w:rFonts w:ascii="Arial" w:hAnsi="Arial" w:cs="Arial"/>
              </w:rPr>
              <w:t>Muuß-Merholz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Jöran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Wampfler</w:t>
            </w:r>
            <w:proofErr w:type="spellEnd"/>
            <w:r>
              <w:rPr>
                <w:rFonts w:ascii="Arial" w:hAnsi="Arial" w:cs="Arial"/>
              </w:rPr>
              <w:t xml:space="preserve">, Philippe </w:t>
            </w:r>
            <w:r w:rsidR="00D03E4F" w:rsidRPr="004C15A5">
              <w:rPr>
                <w:rFonts w:ascii="Arial" w:hAnsi="Arial" w:cs="Arial"/>
              </w:rPr>
              <w:t xml:space="preserve">(Hrsg.): </w:t>
            </w:r>
            <w:r>
              <w:rPr>
                <w:rFonts w:ascii="Arial" w:hAnsi="Arial" w:cs="Arial"/>
              </w:rPr>
              <w:t>Routenplaner #Digitale Bildung</w:t>
            </w:r>
            <w:r w:rsidR="00D03E4F" w:rsidRPr="004C15A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Hamburg</w:t>
            </w:r>
            <w:r w:rsidR="00D03E4F" w:rsidRPr="004C15A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Verlag ZLL21 e.V.</w:t>
            </w:r>
            <w:r w:rsidR="00D03E4F" w:rsidRPr="004C15A5">
              <w:rPr>
                <w:rFonts w:ascii="Arial" w:hAnsi="Arial" w:cs="Arial"/>
              </w:rPr>
              <w:t xml:space="preserve">) S. </w:t>
            </w:r>
            <w:r>
              <w:rPr>
                <w:rFonts w:ascii="Arial" w:hAnsi="Arial" w:cs="Arial"/>
              </w:rPr>
              <w:t>29</w:t>
            </w:r>
            <w:r w:rsidR="00D03E4F" w:rsidRPr="004C15A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38</w:t>
            </w:r>
            <w:r w:rsidR="00D03E4F" w:rsidRPr="004C15A5">
              <w:rPr>
                <w:rFonts w:ascii="Arial" w:hAnsi="Arial" w:cs="Arial"/>
              </w:rPr>
              <w:t>.</w:t>
            </w:r>
          </w:p>
          <w:p w14:paraId="320C7404" w14:textId="7004C474" w:rsidR="004C15A5" w:rsidRPr="004C15A5" w:rsidRDefault="005E1A41" w:rsidP="005E1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Stalder, Felix (2016): Kultur der Digitalität. Frankfurt am Main (Suhrkamp).</w:t>
            </w:r>
          </w:p>
        </w:tc>
      </w:tr>
      <w:tr w:rsidR="006F13D7" w:rsidRPr="006F13D7" w14:paraId="12C17543" w14:textId="77777777" w:rsidTr="00D03E4F">
        <w:tc>
          <w:tcPr>
            <w:tcW w:w="2375" w:type="dxa"/>
          </w:tcPr>
          <w:p w14:paraId="516E907A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685" w:type="dxa"/>
          </w:tcPr>
          <w:p w14:paraId="19A9662C" w14:textId="43479A67" w:rsidR="002A574C" w:rsidRPr="006F13D7" w:rsidRDefault="002A574C" w:rsidP="005D06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Gerät mit Internetzugang</w:t>
            </w:r>
          </w:p>
        </w:tc>
      </w:tr>
    </w:tbl>
    <w:p w14:paraId="22BC4590" w14:textId="2A96D97F" w:rsidR="00224CB8" w:rsidRDefault="00224CB8" w:rsidP="006F13D7">
      <w:pPr>
        <w:rPr>
          <w:rFonts w:ascii="Arial" w:hAnsi="Arial" w:cs="Arial"/>
          <w:sz w:val="22"/>
        </w:rPr>
      </w:pPr>
    </w:p>
    <w:p w14:paraId="7822A930" w14:textId="3B1A02BA" w:rsidR="003D1F3D" w:rsidRDefault="003D1F3D" w:rsidP="006F13D7">
      <w:pPr>
        <w:rPr>
          <w:rFonts w:ascii="Arial" w:hAnsi="Arial" w:cs="Arial"/>
          <w:sz w:val="22"/>
        </w:rPr>
      </w:pPr>
    </w:p>
    <w:p w14:paraId="6FE77654" w14:textId="1DB36FC6" w:rsidR="005E1A41" w:rsidRDefault="005E1A41" w:rsidP="006F13D7">
      <w:pPr>
        <w:rPr>
          <w:rFonts w:ascii="Arial" w:hAnsi="Arial" w:cs="Arial"/>
          <w:sz w:val="22"/>
        </w:rPr>
      </w:pPr>
    </w:p>
    <w:p w14:paraId="07D3D121" w14:textId="640A9C6D" w:rsidR="005E1A41" w:rsidRDefault="005E1A41" w:rsidP="006F13D7">
      <w:pPr>
        <w:rPr>
          <w:rFonts w:ascii="Arial" w:hAnsi="Arial" w:cs="Arial"/>
          <w:sz w:val="22"/>
        </w:rPr>
      </w:pPr>
    </w:p>
    <w:p w14:paraId="061FFFB5" w14:textId="14A16AC5" w:rsidR="005E1A41" w:rsidRDefault="005E1A41" w:rsidP="006F13D7">
      <w:pPr>
        <w:rPr>
          <w:rFonts w:ascii="Arial" w:hAnsi="Arial" w:cs="Arial"/>
          <w:sz w:val="22"/>
        </w:rPr>
      </w:pPr>
    </w:p>
    <w:p w14:paraId="0F89BAE5" w14:textId="31D3A6EE" w:rsidR="005E1A41" w:rsidRDefault="005E1A41" w:rsidP="006F13D7">
      <w:pPr>
        <w:rPr>
          <w:rFonts w:ascii="Arial" w:hAnsi="Arial" w:cs="Arial"/>
          <w:sz w:val="22"/>
        </w:rPr>
      </w:pPr>
    </w:p>
    <w:p w14:paraId="1FB7B3BB" w14:textId="6576DA68" w:rsidR="005E1A41" w:rsidRDefault="005E1A41" w:rsidP="006F13D7">
      <w:pPr>
        <w:rPr>
          <w:rFonts w:ascii="Arial" w:hAnsi="Arial" w:cs="Arial"/>
          <w:sz w:val="22"/>
        </w:rPr>
      </w:pPr>
    </w:p>
    <w:p w14:paraId="1BA5C0F1" w14:textId="4B1AB736" w:rsidR="005E1A41" w:rsidRPr="005E1A41" w:rsidRDefault="005E1A41" w:rsidP="005E1A4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ind w:left="0" w:right="-108"/>
        <w:jc w:val="center"/>
        <w:rPr>
          <w:rFonts w:ascii="Arial" w:hAnsi="Arial" w:cs="Arial"/>
          <w:b/>
          <w:sz w:val="30"/>
          <w:szCs w:val="30"/>
        </w:rPr>
      </w:pPr>
      <w:r w:rsidRPr="005E1A41">
        <w:rPr>
          <w:rFonts w:ascii="Arial" w:hAnsi="Arial" w:cs="Arial"/>
          <w:b/>
          <w:sz w:val="30"/>
          <w:szCs w:val="30"/>
        </w:rPr>
        <w:t>Referenzialität: Texte verweisen auf andere</w:t>
      </w:r>
    </w:p>
    <w:p w14:paraId="77275E75" w14:textId="68EAC658" w:rsidR="005E1A41" w:rsidRPr="005E1A41" w:rsidRDefault="00A04CEB" w:rsidP="005E1A4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ind w:left="0" w:right="-108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DA65A70" wp14:editId="6416C28B">
            <wp:simplePos x="0" y="0"/>
            <wp:positionH relativeFrom="margin">
              <wp:posOffset>-168910</wp:posOffset>
            </wp:positionH>
            <wp:positionV relativeFrom="margin">
              <wp:posOffset>851535</wp:posOffset>
            </wp:positionV>
            <wp:extent cx="365760" cy="365760"/>
            <wp:effectExtent l="0" t="0" r="0" b="0"/>
            <wp:wrapSquare wrapText="bothSides"/>
            <wp:docPr id="8" name="Grafik 8" descr="A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rBEHbh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CBC">
        <w:rPr>
          <w:rFonts w:ascii="Arial" w:hAnsi="Arial" w:cs="Arial"/>
          <w:b/>
          <w:sz w:val="30"/>
          <w:szCs w:val="30"/>
        </w:rPr>
        <w:t xml:space="preserve">exemplarische </w:t>
      </w:r>
      <w:r w:rsidR="005E1A41" w:rsidRPr="005E1A41">
        <w:rPr>
          <w:rFonts w:ascii="Arial" w:hAnsi="Arial" w:cs="Arial"/>
          <w:b/>
          <w:sz w:val="30"/>
          <w:szCs w:val="30"/>
        </w:rPr>
        <w:t xml:space="preserve">Methodenkarte </w:t>
      </w:r>
    </w:p>
    <w:p w14:paraId="67E3DAE1" w14:textId="65F26980" w:rsidR="00E35CDA" w:rsidRPr="00A04CEB" w:rsidRDefault="00E35CDA" w:rsidP="006F13D7">
      <w:pPr>
        <w:rPr>
          <w:rFonts w:ascii="Arial" w:hAnsi="Arial" w:cs="Arial"/>
          <w:szCs w:val="20"/>
        </w:rPr>
      </w:pPr>
      <w:r w:rsidRPr="00A04CEB">
        <w:rPr>
          <w:rFonts w:ascii="Arial" w:hAnsi="Arial" w:cs="Arial"/>
          <w:szCs w:val="20"/>
        </w:rPr>
        <w:t xml:space="preserve">Stummer </w:t>
      </w:r>
      <w:r w:rsidRPr="00A04CEB">
        <w:rPr>
          <w:rFonts w:ascii="Arial" w:hAnsi="Arial" w:cs="Arial"/>
          <w:b/>
          <w:bCs/>
          <w:szCs w:val="20"/>
        </w:rPr>
        <w:t>Einstieg</w:t>
      </w:r>
      <w:r w:rsidRPr="00A04CEB">
        <w:rPr>
          <w:rFonts w:ascii="Arial" w:hAnsi="Arial" w:cs="Arial"/>
          <w:szCs w:val="20"/>
        </w:rPr>
        <w:t>:</w:t>
      </w:r>
      <w:r w:rsidR="00867E09" w:rsidRPr="00A04CEB">
        <w:rPr>
          <w:rFonts w:ascii="Arial" w:hAnsi="Arial" w:cs="Arial"/>
          <w:szCs w:val="20"/>
        </w:rPr>
        <w:t xml:space="preserve"> </w:t>
      </w:r>
      <w:r w:rsidR="006B06DA">
        <w:rPr>
          <w:rFonts w:ascii="Arial" w:hAnsi="Arial" w:cs="Arial"/>
          <w:szCs w:val="20"/>
        </w:rPr>
        <w:t>Einstieg mit einem beliebig gewählten Beispiel von Fake News</w:t>
      </w:r>
      <w:r w:rsidR="001D0835">
        <w:rPr>
          <w:rFonts w:ascii="Arial" w:hAnsi="Arial" w:cs="Arial"/>
          <w:szCs w:val="20"/>
        </w:rPr>
        <w:t xml:space="preserve">, zum Beispiel aus den Sozialen Medien. </w:t>
      </w:r>
    </w:p>
    <w:p w14:paraId="63132D15" w14:textId="258F0004" w:rsidR="00867E09" w:rsidRPr="00A04CEB" w:rsidRDefault="00A04CEB" w:rsidP="006F13D7">
      <w:pPr>
        <w:rPr>
          <w:rFonts w:ascii="Arial" w:hAnsi="Arial" w:cs="Arial"/>
          <w:szCs w:val="20"/>
        </w:rPr>
      </w:pPr>
      <w:r w:rsidRPr="00A04CEB">
        <w:rPr>
          <w:rFonts w:ascii="Arial" w:hAnsi="Arial" w:cs="Arial"/>
          <w:noProof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 wp14:anchorId="398F4F83" wp14:editId="57AED063">
            <wp:simplePos x="0" y="0"/>
            <wp:positionH relativeFrom="margin">
              <wp:posOffset>-373624</wp:posOffset>
            </wp:positionH>
            <wp:positionV relativeFrom="margin">
              <wp:posOffset>1252073</wp:posOffset>
            </wp:positionV>
            <wp:extent cx="535305" cy="535305"/>
            <wp:effectExtent l="0" t="0" r="0" b="0"/>
            <wp:wrapSquare wrapText="bothSides"/>
            <wp:docPr id="10" name="Grafik 10" descr="Fr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diafile_kM6tQq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9A9A1" w14:textId="39D43AB9" w:rsidR="00E35CDA" w:rsidRPr="001D0835" w:rsidRDefault="00E35CDA" w:rsidP="006F13D7">
      <w:pPr>
        <w:rPr>
          <w:rFonts w:ascii="Arial" w:hAnsi="Arial" w:cs="Arial"/>
          <w:b/>
          <w:szCs w:val="20"/>
        </w:rPr>
      </w:pPr>
      <w:r w:rsidRPr="001D0835">
        <w:rPr>
          <w:rFonts w:ascii="Arial" w:hAnsi="Arial" w:cs="Arial"/>
          <w:b/>
          <w:bCs/>
          <w:szCs w:val="20"/>
        </w:rPr>
        <w:t>Problem</w:t>
      </w:r>
      <w:r w:rsidR="001D0835" w:rsidRPr="001D0835">
        <w:rPr>
          <w:rFonts w:ascii="Arial" w:hAnsi="Arial" w:cs="Arial"/>
          <w:b/>
          <w:szCs w:val="20"/>
        </w:rPr>
        <w:t>atisierung der</w:t>
      </w:r>
      <w:r w:rsidR="001D0835">
        <w:rPr>
          <w:rFonts w:ascii="Arial" w:hAnsi="Arial" w:cs="Arial"/>
          <w:b/>
          <w:szCs w:val="20"/>
        </w:rPr>
        <w:t xml:space="preserve"> </w:t>
      </w:r>
      <w:r w:rsidR="005C22E3">
        <w:rPr>
          <w:rFonts w:ascii="Arial" w:hAnsi="Arial" w:cs="Arial"/>
          <w:b/>
          <w:szCs w:val="20"/>
        </w:rPr>
        <w:t xml:space="preserve">schwer erkennbaren </w:t>
      </w:r>
      <w:bookmarkStart w:id="0" w:name="_GoBack"/>
      <w:bookmarkEnd w:id="0"/>
      <w:r w:rsidR="001D0835">
        <w:rPr>
          <w:rFonts w:ascii="Arial" w:hAnsi="Arial" w:cs="Arial"/>
          <w:b/>
          <w:szCs w:val="20"/>
        </w:rPr>
        <w:t>verzerrten bzw. fehlerhaften Darstellung von Sachverhalten</w:t>
      </w:r>
    </w:p>
    <w:p w14:paraId="17C8F039" w14:textId="7B92734C" w:rsidR="00867E09" w:rsidRPr="00A04CEB" w:rsidRDefault="00A04CEB" w:rsidP="006F13D7">
      <w:pPr>
        <w:rPr>
          <w:rFonts w:ascii="Arial" w:hAnsi="Arial" w:cs="Arial"/>
          <w:szCs w:val="20"/>
        </w:rPr>
      </w:pPr>
      <w:r w:rsidRPr="00A04CEB">
        <w:rPr>
          <w:rFonts w:ascii="Arial" w:eastAsia="Batang" w:hAnsi="Arial" w:cs="Arial"/>
          <w:noProof/>
          <w:szCs w:val="20"/>
          <w:lang w:eastAsia="de-DE"/>
        </w:rPr>
        <w:drawing>
          <wp:anchor distT="0" distB="0" distL="114300" distR="114300" simplePos="0" relativeHeight="251664384" behindDoc="0" locked="0" layoutInCell="1" allowOverlap="1" wp14:anchorId="47E6AAE7" wp14:editId="0F79394A">
            <wp:simplePos x="0" y="0"/>
            <wp:positionH relativeFrom="margin">
              <wp:posOffset>-279107</wp:posOffset>
            </wp:positionH>
            <wp:positionV relativeFrom="margin">
              <wp:posOffset>1885853</wp:posOffset>
            </wp:positionV>
            <wp:extent cx="438785" cy="438785"/>
            <wp:effectExtent l="0" t="0" r="0" b="5715"/>
            <wp:wrapSquare wrapText="bothSides"/>
            <wp:docPr id="12" name="Grafik 12" descr="Kundenbewer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diafile_xkOH3c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462A0" w14:textId="39513607" w:rsidR="00E35CDA" w:rsidRPr="00A04CEB" w:rsidRDefault="00E35CDA" w:rsidP="006F13D7">
      <w:pPr>
        <w:rPr>
          <w:rFonts w:ascii="Arial" w:hAnsi="Arial" w:cs="Arial"/>
          <w:szCs w:val="20"/>
        </w:rPr>
      </w:pPr>
      <w:r w:rsidRPr="00A04CEB">
        <w:rPr>
          <w:rFonts w:ascii="Arial" w:hAnsi="Arial" w:cs="Arial"/>
          <w:b/>
          <w:bCs/>
          <w:szCs w:val="20"/>
        </w:rPr>
        <w:t>Lösungswege</w:t>
      </w:r>
      <w:r w:rsidRPr="00A04CEB">
        <w:rPr>
          <w:rFonts w:ascii="Arial" w:hAnsi="Arial" w:cs="Arial"/>
          <w:szCs w:val="20"/>
        </w:rPr>
        <w:t xml:space="preserve">: angegebene Internetadresse </w:t>
      </w:r>
      <w:hyperlink r:id="rId14" w:history="1">
        <w:r w:rsidRPr="00A04CEB">
          <w:rPr>
            <w:rStyle w:val="Hyperlink"/>
            <w:rFonts w:ascii="Arial" w:hAnsi="Arial" w:cs="Arial"/>
            <w:szCs w:val="20"/>
          </w:rPr>
          <w:t>www.breaking-news-saarland.de/saar-virologe-raet-in-corona-sendung-dazu-whisky-zu-trinken/</w:t>
        </w:r>
      </w:hyperlink>
      <w:r w:rsidRPr="00A04CEB">
        <w:rPr>
          <w:rFonts w:ascii="Arial" w:hAnsi="Arial" w:cs="Arial"/>
          <w:szCs w:val="20"/>
        </w:rPr>
        <w:t xml:space="preserve"> anklicken und nachlesen, die ganze Sendung im Original in der ARD-Mediathek anschauen</w:t>
      </w:r>
      <w:r w:rsidR="00BC0437" w:rsidRPr="00A04CEB">
        <w:rPr>
          <w:rFonts w:ascii="Arial" w:hAnsi="Arial" w:cs="Arial"/>
          <w:szCs w:val="20"/>
        </w:rPr>
        <w:t xml:space="preserve"> (siehe Link am Ende des Beitrags)</w:t>
      </w:r>
    </w:p>
    <w:p w14:paraId="7BBD2625" w14:textId="6937045C" w:rsidR="00867E09" w:rsidRPr="00A04CEB" w:rsidRDefault="00A04CEB" w:rsidP="006F13D7">
      <w:pPr>
        <w:rPr>
          <w:rFonts w:ascii="Arial" w:hAnsi="Arial" w:cs="Arial"/>
          <w:szCs w:val="20"/>
        </w:rPr>
      </w:pPr>
      <w:r w:rsidRPr="00A04CEB">
        <w:rPr>
          <w:rFonts w:ascii="Arial" w:hAnsi="Arial" w:cs="Arial"/>
          <w:noProof/>
          <w:szCs w:val="20"/>
          <w:lang w:eastAsia="de-DE"/>
        </w:rPr>
        <w:drawing>
          <wp:anchor distT="0" distB="0" distL="114300" distR="114300" simplePos="0" relativeHeight="251663360" behindDoc="0" locked="0" layoutInCell="1" allowOverlap="1" wp14:anchorId="7C317A9B" wp14:editId="2DFC1951">
            <wp:simplePos x="0" y="0"/>
            <wp:positionH relativeFrom="margin">
              <wp:posOffset>-374895</wp:posOffset>
            </wp:positionH>
            <wp:positionV relativeFrom="margin">
              <wp:posOffset>2523587</wp:posOffset>
            </wp:positionV>
            <wp:extent cx="575187" cy="575187"/>
            <wp:effectExtent l="0" t="0" r="0" b="0"/>
            <wp:wrapSquare wrapText="bothSides"/>
            <wp:docPr id="11" name="Grafik 11" descr="Gruppenbrainsto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iafile_sIMxN6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87" cy="575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6A07D" w14:textId="071198E2" w:rsidR="00BC0437" w:rsidRPr="00A04CEB" w:rsidRDefault="00BC0437" w:rsidP="006F13D7">
      <w:pPr>
        <w:rPr>
          <w:rFonts w:ascii="Arial" w:hAnsi="Arial" w:cs="Arial"/>
          <w:szCs w:val="20"/>
        </w:rPr>
      </w:pPr>
      <w:r w:rsidRPr="00A04CEB">
        <w:rPr>
          <w:rFonts w:ascii="Arial" w:hAnsi="Arial" w:cs="Arial"/>
          <w:b/>
          <w:bCs/>
          <w:szCs w:val="20"/>
        </w:rPr>
        <w:t>Gemeinsam</w:t>
      </w:r>
      <w:r w:rsidRPr="00A04CEB">
        <w:rPr>
          <w:rFonts w:ascii="Arial" w:hAnsi="Arial" w:cs="Arial"/>
          <w:szCs w:val="20"/>
        </w:rPr>
        <w:t>: Aussage jetzt neu bewerten, in der der Virologe als Fazit den Nutzen von höherwertigem Alkohol deutlich relativiert und auf eine Stufe mit Seife stellt</w:t>
      </w:r>
    </w:p>
    <w:p w14:paraId="1DF7A917" w14:textId="4D344B14" w:rsidR="00E35CDA" w:rsidRPr="00A04CEB" w:rsidRDefault="00A04CEB" w:rsidP="006F13D7">
      <w:pPr>
        <w:rPr>
          <w:rFonts w:ascii="Arial" w:hAnsi="Arial" w:cs="Arial"/>
          <w:szCs w:val="20"/>
        </w:rPr>
      </w:pPr>
      <w:r w:rsidRPr="00A04CEB">
        <w:rPr>
          <w:rFonts w:ascii="Arial" w:hAnsi="Arial" w:cs="Arial"/>
          <w:b/>
          <w:bCs/>
          <w:noProof/>
          <w:szCs w:val="20"/>
          <w:lang w:eastAsia="de-DE"/>
        </w:rPr>
        <w:drawing>
          <wp:anchor distT="0" distB="0" distL="114300" distR="114300" simplePos="0" relativeHeight="251661312" behindDoc="0" locked="0" layoutInCell="1" allowOverlap="1" wp14:anchorId="7B690DBA" wp14:editId="31CCE5C0">
            <wp:simplePos x="0" y="0"/>
            <wp:positionH relativeFrom="margin">
              <wp:posOffset>-349641</wp:posOffset>
            </wp:positionH>
            <wp:positionV relativeFrom="margin">
              <wp:posOffset>3228780</wp:posOffset>
            </wp:positionV>
            <wp:extent cx="552450" cy="552450"/>
            <wp:effectExtent l="0" t="0" r="0" b="0"/>
            <wp:wrapSquare wrapText="bothSides"/>
            <wp:docPr id="9" name="Grafik 9" descr="Kopf mit Zahnrä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diafile_LrFSFF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14437" w14:textId="1936654F" w:rsidR="00BC0437" w:rsidRPr="00A04CEB" w:rsidRDefault="00A04CEB" w:rsidP="00A04CEB">
      <w:pPr>
        <w:rPr>
          <w:rFonts w:ascii="Arial" w:hAnsi="Arial" w:cs="Arial"/>
          <w:b/>
          <w:bCs/>
          <w:szCs w:val="20"/>
        </w:rPr>
      </w:pPr>
      <w:r w:rsidRPr="00A04CEB">
        <w:rPr>
          <w:noProof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6AC12718" wp14:editId="3ABAF5E6">
            <wp:simplePos x="0" y="0"/>
            <wp:positionH relativeFrom="margin">
              <wp:posOffset>5461000</wp:posOffset>
            </wp:positionH>
            <wp:positionV relativeFrom="margin">
              <wp:posOffset>3390118</wp:posOffset>
            </wp:positionV>
            <wp:extent cx="985172" cy="985172"/>
            <wp:effectExtent l="0" t="0" r="5715" b="5715"/>
            <wp:wrapSquare wrapText="bothSides"/>
            <wp:docPr id="6" name="Grafik 6" descr="Ein Bild, das Text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-7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172" cy="985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E09" w:rsidRPr="00A04CEB">
        <w:rPr>
          <w:rFonts w:ascii="Arial" w:hAnsi="Arial" w:cs="Arial"/>
          <w:b/>
          <w:bCs/>
          <w:szCs w:val="20"/>
        </w:rPr>
        <w:t>Partnerarbeit</w:t>
      </w:r>
      <w:r w:rsidR="00BC0437" w:rsidRPr="00A04CEB">
        <w:rPr>
          <w:rFonts w:ascii="Arial" w:hAnsi="Arial" w:cs="Arial"/>
          <w:b/>
          <w:bCs/>
          <w:szCs w:val="20"/>
        </w:rPr>
        <w:t xml:space="preserve">: </w:t>
      </w:r>
      <w:r w:rsidR="00A27522" w:rsidRPr="00A04CEB">
        <w:rPr>
          <w:rFonts w:ascii="Arial" w:hAnsi="Arial" w:cs="Arial"/>
          <w:b/>
          <w:bCs/>
          <w:szCs w:val="20"/>
        </w:rPr>
        <w:t>„Fett und arm“: Das denkt der ProSiebenSat.1-Chef Thomas Ebeling über seine Zuschauer</w:t>
      </w:r>
    </w:p>
    <w:p w14:paraId="4FFC13B5" w14:textId="6C5A8F44" w:rsidR="00867E09" w:rsidRPr="00A04CEB" w:rsidRDefault="00BC0437" w:rsidP="00867E09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CEB">
        <w:rPr>
          <w:rFonts w:ascii="Arial" w:hAnsi="Arial" w:cs="Arial"/>
          <w:sz w:val="20"/>
          <w:szCs w:val="20"/>
        </w:rPr>
        <w:t>Ruft den Artikel „Aussagen über Zuschauer zugespitzt“</w:t>
      </w:r>
      <w:r w:rsidR="00A27522" w:rsidRPr="00A04CEB">
        <w:rPr>
          <w:rFonts w:ascii="Arial" w:hAnsi="Arial" w:cs="Arial"/>
          <w:sz w:val="20"/>
          <w:szCs w:val="20"/>
        </w:rPr>
        <w:t xml:space="preserve">, der am 15.11.2017 auf </w:t>
      </w:r>
      <w:hyperlink r:id="rId20" w:history="1">
        <w:r w:rsidR="00A27522" w:rsidRPr="00A04CEB">
          <w:rPr>
            <w:rStyle w:val="Hyperlink"/>
            <w:rFonts w:ascii="Arial" w:hAnsi="Arial" w:cs="Arial"/>
            <w:sz w:val="20"/>
            <w:szCs w:val="20"/>
          </w:rPr>
          <w:t>www.welt.de</w:t>
        </w:r>
      </w:hyperlink>
      <w:r w:rsidR="00A27522" w:rsidRPr="00A04CEB">
        <w:rPr>
          <w:rFonts w:ascii="Arial" w:hAnsi="Arial" w:cs="Arial"/>
          <w:sz w:val="20"/>
          <w:szCs w:val="20"/>
        </w:rPr>
        <w:t xml:space="preserve"> erschienen ist, auf, indem ihr den QR-Code mit der Kamera eines Handys oder Tablets einscannt und dann den angegebenen Internetartikel öffnet.</w:t>
      </w:r>
    </w:p>
    <w:p w14:paraId="613B1D91" w14:textId="4132920C" w:rsidR="00A27522" w:rsidRPr="00A04CEB" w:rsidRDefault="00A27522" w:rsidP="00A27522">
      <w:pPr>
        <w:pStyle w:val="Listenabsatz"/>
        <w:rPr>
          <w:rFonts w:ascii="Arial" w:hAnsi="Arial" w:cs="Arial"/>
          <w:sz w:val="20"/>
          <w:szCs w:val="20"/>
        </w:rPr>
      </w:pPr>
    </w:p>
    <w:p w14:paraId="65A04B9E" w14:textId="2E39BBDC" w:rsidR="00867E09" w:rsidRPr="00A04CEB" w:rsidRDefault="00A27522" w:rsidP="00A04CEB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CEB">
        <w:rPr>
          <w:rFonts w:ascii="Arial" w:hAnsi="Arial" w:cs="Arial"/>
          <w:sz w:val="20"/>
          <w:szCs w:val="20"/>
        </w:rPr>
        <w:t>Die Aussagen des Fernsehchefs sorgten damals für große Aufregung. Er selbst sagte dazu: «Bei meiner Aussage handelte es sich natürlich um eine plakative Zuspitzung zur Illustration unterschiedlicher Mediennutzungsweisen. Mitnichten wollte ich unsere TV-Zuschauer diskreditieren.» Was hat er wirklich gesagt? Lest es nach, am Ende des Artikels wird ein Link zum DWDL-Bericht angeboten, dem ihr jetzt folgt.</w:t>
      </w:r>
    </w:p>
    <w:p w14:paraId="7FC28CCB" w14:textId="40B42C61" w:rsidR="00867E09" w:rsidRPr="00A04CEB" w:rsidRDefault="00867E09" w:rsidP="00867E09">
      <w:pPr>
        <w:pStyle w:val="Listenabsatz"/>
        <w:rPr>
          <w:rFonts w:ascii="Arial" w:hAnsi="Arial" w:cs="Arial"/>
          <w:sz w:val="20"/>
          <w:szCs w:val="20"/>
        </w:rPr>
      </w:pPr>
    </w:p>
    <w:p w14:paraId="742E84C6" w14:textId="7CB9DB12" w:rsidR="00A27522" w:rsidRPr="00A04CEB" w:rsidRDefault="00A27522" w:rsidP="00BC0437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CEB">
        <w:rPr>
          <w:rFonts w:ascii="Arial" w:hAnsi="Arial" w:cs="Arial"/>
          <w:sz w:val="20"/>
          <w:szCs w:val="20"/>
        </w:rPr>
        <w:t xml:space="preserve">Lest den Artikel aufmerksam und überprüft vor allem die Übersetzung aus dem Englischen ins Deutsche. </w:t>
      </w:r>
    </w:p>
    <w:p w14:paraId="5501DA1C" w14:textId="7A2C0F48" w:rsidR="00A27522" w:rsidRPr="00A04CEB" w:rsidRDefault="00A27522" w:rsidP="00A27522">
      <w:pPr>
        <w:pStyle w:val="Listenabsatz"/>
        <w:rPr>
          <w:rFonts w:ascii="Arial" w:hAnsi="Arial" w:cs="Arial"/>
          <w:sz w:val="20"/>
          <w:szCs w:val="20"/>
        </w:rPr>
      </w:pPr>
    </w:p>
    <w:p w14:paraId="35B3FD1C" w14:textId="7FCEC1AE" w:rsidR="00A27522" w:rsidRPr="00A04CEB" w:rsidRDefault="00A27522" w:rsidP="00BC0437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CEB">
        <w:rPr>
          <w:rFonts w:ascii="Arial" w:hAnsi="Arial" w:cs="Arial"/>
          <w:sz w:val="20"/>
          <w:szCs w:val="20"/>
        </w:rPr>
        <w:t xml:space="preserve">Zu welchem Ergebnis kommt ihr? Hat man ihn falsch zitiert, seine Aussage aus dem Zusammenhang gerissen oder </w:t>
      </w:r>
      <w:r w:rsidR="00A04CEB">
        <w:rPr>
          <w:rFonts w:ascii="Arial" w:hAnsi="Arial" w:cs="Arial"/>
          <w:sz w:val="20"/>
          <w:szCs w:val="20"/>
        </w:rPr>
        <w:t xml:space="preserve">ihm </w:t>
      </w:r>
      <w:r w:rsidRPr="00A04CEB">
        <w:rPr>
          <w:rFonts w:ascii="Arial" w:hAnsi="Arial" w:cs="Arial"/>
          <w:sz w:val="20"/>
          <w:szCs w:val="20"/>
        </w:rPr>
        <w:t>gar Unrecht getan?</w:t>
      </w:r>
    </w:p>
    <w:p w14:paraId="1209F203" w14:textId="789FD59B" w:rsidR="00A27522" w:rsidRPr="00A04CEB" w:rsidRDefault="00A27522" w:rsidP="00A27522">
      <w:pPr>
        <w:pStyle w:val="Listenabsatz"/>
        <w:rPr>
          <w:rFonts w:ascii="Arial" w:hAnsi="Arial" w:cs="Arial"/>
          <w:sz w:val="20"/>
          <w:szCs w:val="20"/>
        </w:rPr>
      </w:pPr>
    </w:p>
    <w:p w14:paraId="451A03A0" w14:textId="680BFBD3" w:rsidR="00A27522" w:rsidRPr="00A04CEB" w:rsidRDefault="00A27522" w:rsidP="00BC0437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CEB">
        <w:rPr>
          <w:rFonts w:ascii="Arial" w:hAnsi="Arial" w:cs="Arial"/>
          <w:sz w:val="20"/>
          <w:szCs w:val="20"/>
        </w:rPr>
        <w:t>Notiert in der Gruppe eure Ergebnisse als Schlussstatement, das ihr dann im Plenum vortragen könnt.</w:t>
      </w:r>
    </w:p>
    <w:p w14:paraId="69F2CCAF" w14:textId="40A1EE00" w:rsidR="00A27522" w:rsidRPr="00A04CEB" w:rsidRDefault="00A27522" w:rsidP="00A27522">
      <w:pPr>
        <w:pStyle w:val="Listenabsatz"/>
        <w:rPr>
          <w:rFonts w:ascii="Arial" w:hAnsi="Arial" w:cs="Arial"/>
          <w:sz w:val="20"/>
          <w:szCs w:val="20"/>
        </w:rPr>
      </w:pPr>
    </w:p>
    <w:p w14:paraId="4D8B095B" w14:textId="1907F91D" w:rsidR="00A27522" w:rsidRPr="00A04CEB" w:rsidRDefault="00A27522" w:rsidP="00BC0437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04CEB">
        <w:rPr>
          <w:rFonts w:ascii="Arial" w:hAnsi="Arial" w:cs="Arial"/>
          <w:sz w:val="20"/>
          <w:szCs w:val="20"/>
        </w:rPr>
        <w:t xml:space="preserve">Puffer: Wenn noch Zeit ist, könnt ihr recherchieren, ob diese Aussage </w:t>
      </w:r>
      <w:r w:rsidR="00867E09" w:rsidRPr="00A04CEB">
        <w:rPr>
          <w:rFonts w:ascii="Arial" w:hAnsi="Arial" w:cs="Arial"/>
          <w:sz w:val="20"/>
          <w:szCs w:val="20"/>
        </w:rPr>
        <w:t>der Karriere von Thomas Ebling geschadet hat.</w:t>
      </w:r>
    </w:p>
    <w:p w14:paraId="6326EDD5" w14:textId="61EC97A3" w:rsidR="00867E09" w:rsidRPr="00A04CEB" w:rsidRDefault="00A04CEB" w:rsidP="00867E09">
      <w:pPr>
        <w:rPr>
          <w:rFonts w:ascii="Arial" w:eastAsia="Batang" w:hAnsi="Arial" w:cs="Arial"/>
          <w:szCs w:val="20"/>
        </w:rPr>
      </w:pPr>
      <w:r w:rsidRPr="00A04CEB">
        <w:rPr>
          <w:rFonts w:ascii="Arial" w:hAnsi="Arial" w:cs="Arial"/>
          <w:noProof/>
          <w:szCs w:val="20"/>
          <w:lang w:eastAsia="de-DE"/>
        </w:rPr>
        <w:drawing>
          <wp:anchor distT="0" distB="0" distL="114300" distR="114300" simplePos="0" relativeHeight="251665408" behindDoc="0" locked="0" layoutInCell="1" allowOverlap="1" wp14:anchorId="0BEB31C1" wp14:editId="14CD8108">
            <wp:simplePos x="0" y="0"/>
            <wp:positionH relativeFrom="margin">
              <wp:posOffset>-48895</wp:posOffset>
            </wp:positionH>
            <wp:positionV relativeFrom="margin">
              <wp:posOffset>7379140</wp:posOffset>
            </wp:positionV>
            <wp:extent cx="449580" cy="449580"/>
            <wp:effectExtent l="0" t="0" r="0" b="0"/>
            <wp:wrapSquare wrapText="bothSides"/>
            <wp:docPr id="13" name="Grafik 13" descr="Klassenzi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gqIAUs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09" w:rsidRPr="00A04CEB">
        <w:rPr>
          <w:rFonts w:ascii="Arial" w:eastAsia="Batang" w:hAnsi="Arial" w:cs="Arial"/>
          <w:szCs w:val="20"/>
        </w:rPr>
        <w:t>Abschluss mit Vorträgen aus den einzelnen Gruppen im Plenum</w:t>
      </w:r>
    </w:p>
    <w:p w14:paraId="07CC62B7" w14:textId="74823480" w:rsidR="00867E09" w:rsidRPr="00A04CEB" w:rsidRDefault="00867E09" w:rsidP="00867E09">
      <w:pPr>
        <w:rPr>
          <w:rFonts w:ascii="Arial" w:eastAsia="Batang" w:hAnsi="Arial" w:cs="Arial"/>
          <w:szCs w:val="20"/>
        </w:rPr>
      </w:pPr>
      <w:r w:rsidRPr="00A04CEB">
        <w:rPr>
          <w:rFonts w:ascii="Arial" w:eastAsia="Batang" w:hAnsi="Arial" w:cs="Arial"/>
          <w:szCs w:val="20"/>
        </w:rPr>
        <w:t xml:space="preserve">Fazit/Ergebnissicherung: </w:t>
      </w:r>
    </w:p>
    <w:p w14:paraId="11DC3A11" w14:textId="06EF7FF9" w:rsidR="002D33BB" w:rsidRPr="00A04CEB" w:rsidRDefault="002D33BB" w:rsidP="00867E09">
      <w:pPr>
        <w:rPr>
          <w:rFonts w:ascii="Arial" w:eastAsia="Batang" w:hAnsi="Arial" w:cs="Arial"/>
          <w:b/>
          <w:bCs/>
          <w:szCs w:val="20"/>
        </w:rPr>
      </w:pPr>
      <w:r w:rsidRPr="00A04CEB">
        <w:rPr>
          <w:rFonts w:ascii="Arial" w:eastAsia="Batang" w:hAnsi="Arial" w:cs="Arial"/>
          <w:b/>
          <w:bCs/>
          <w:szCs w:val="20"/>
        </w:rPr>
        <w:t xml:space="preserve">Digitales Lesen: </w:t>
      </w:r>
    </w:p>
    <w:p w14:paraId="417D76DE" w14:textId="2EB544A3" w:rsidR="002D33BB" w:rsidRPr="00A04CEB" w:rsidRDefault="002D33BB" w:rsidP="00867E09">
      <w:pPr>
        <w:rPr>
          <w:rFonts w:ascii="Arial" w:hAnsi="Arial" w:cs="Arial"/>
          <w:b/>
          <w:bCs/>
          <w:szCs w:val="20"/>
        </w:rPr>
      </w:pPr>
      <w:r w:rsidRPr="00A04CEB">
        <w:rPr>
          <w:rFonts w:ascii="Arial" w:eastAsia="Batang" w:hAnsi="Arial" w:cs="Arial"/>
          <w:b/>
          <w:bCs/>
          <w:szCs w:val="20"/>
        </w:rPr>
        <w:t xml:space="preserve">Charakteristisch für digitales Lesen ist, dass Texte auf andere Texte verweisen (Referenzialität). Der Verweis bietet dem Leser die Möglichkeit, z.B. die ganze Sendung/das ganze Interview anzuhören/anzuschauen (und nicht nur den Ausschnitt), die ganze Studie </w:t>
      </w:r>
      <w:r w:rsidRPr="00A04CEB">
        <w:rPr>
          <w:rFonts w:ascii="Arial" w:eastAsia="Batang" w:hAnsi="Arial" w:cs="Arial"/>
          <w:b/>
          <w:bCs/>
          <w:szCs w:val="20"/>
        </w:rPr>
        <w:lastRenderedPageBreak/>
        <w:t>nachzulesen (und nicht nur die Zusammenfassung) oder die Umgebung (Kontext), in dem eine Aussage getätigt wurde, nachzuvollziehen und so neu bewerten zu können.</w:t>
      </w:r>
    </w:p>
    <w:p w14:paraId="2F27ACAA" w14:textId="743D96F5" w:rsidR="00BC0437" w:rsidRPr="00354318" w:rsidRDefault="00BC0437" w:rsidP="00D03E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58240" behindDoc="0" locked="0" layoutInCell="1" allowOverlap="1" wp14:anchorId="0539CEDA" wp14:editId="53A8D62A">
            <wp:simplePos x="0" y="0"/>
            <wp:positionH relativeFrom="margin">
              <wp:posOffset>801370</wp:posOffset>
            </wp:positionH>
            <wp:positionV relativeFrom="margin">
              <wp:posOffset>440690</wp:posOffset>
            </wp:positionV>
            <wp:extent cx="4651375" cy="7985760"/>
            <wp:effectExtent l="0" t="0" r="0" b="2540"/>
            <wp:wrapSquare wrapText="bothSides"/>
            <wp:docPr id="4" name="Grafik 4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238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798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Material </w:t>
      </w:r>
    </w:p>
    <w:sectPr w:rsidR="00BC0437" w:rsidRPr="00354318" w:rsidSect="00DE7E3D">
      <w:headerReference w:type="default" r:id="rId24"/>
      <w:footerReference w:type="default" r:id="rId25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80147" w14:textId="77777777" w:rsidR="000821C8" w:rsidRDefault="000821C8" w:rsidP="00DE7E3D">
      <w:pPr>
        <w:spacing w:after="0" w:line="240" w:lineRule="auto"/>
      </w:pPr>
      <w:r>
        <w:separator/>
      </w:r>
    </w:p>
  </w:endnote>
  <w:endnote w:type="continuationSeparator" w:id="0">
    <w:p w14:paraId="08535700" w14:textId="77777777" w:rsidR="000821C8" w:rsidRDefault="000821C8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781C2" w14:textId="77777777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7132E3">
      <w:rPr>
        <w:noProof/>
      </w:rPr>
      <w:t>3</w:t>
    </w:r>
    <w:r>
      <w:fldChar w:fldCharType="end"/>
    </w:r>
    <w:r>
      <w:t xml:space="preserve"> von </w:t>
    </w:r>
    <w:fldSimple w:instr=" NUMPAGES   \* MERGEFORMAT ">
      <w:r w:rsidR="007132E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2F9D" w14:textId="77777777" w:rsidR="000821C8" w:rsidRDefault="000821C8" w:rsidP="00DE7E3D">
      <w:pPr>
        <w:spacing w:after="0" w:line="240" w:lineRule="auto"/>
      </w:pPr>
      <w:r>
        <w:separator/>
      </w:r>
    </w:p>
  </w:footnote>
  <w:footnote w:type="continuationSeparator" w:id="0">
    <w:p w14:paraId="77761002" w14:textId="77777777" w:rsidR="000821C8" w:rsidRDefault="000821C8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14:paraId="2DA6A773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54CF4F3E" w14:textId="77777777"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04912A84" wp14:editId="5018C0BA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301FE560" w14:textId="77777777"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52AF6446" w14:textId="77777777"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14:paraId="6D72AE55" w14:textId="77777777"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CBD"/>
    <w:multiLevelType w:val="hybridMultilevel"/>
    <w:tmpl w:val="4D1A40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C4D1DCB"/>
    <w:multiLevelType w:val="hybridMultilevel"/>
    <w:tmpl w:val="5C2EB58E"/>
    <w:lvl w:ilvl="0" w:tplc="9A80B0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75136"/>
    <w:multiLevelType w:val="hybridMultilevel"/>
    <w:tmpl w:val="D8E8F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8"/>
    <w:rsid w:val="00014D3F"/>
    <w:rsid w:val="0003512A"/>
    <w:rsid w:val="000821C8"/>
    <w:rsid w:val="000843B7"/>
    <w:rsid w:val="000C6162"/>
    <w:rsid w:val="000E1631"/>
    <w:rsid w:val="001122DD"/>
    <w:rsid w:val="001406D6"/>
    <w:rsid w:val="00141EC8"/>
    <w:rsid w:val="00170559"/>
    <w:rsid w:val="00175D4F"/>
    <w:rsid w:val="001815A2"/>
    <w:rsid w:val="00192B69"/>
    <w:rsid w:val="001A48B2"/>
    <w:rsid w:val="001B57C8"/>
    <w:rsid w:val="001B688E"/>
    <w:rsid w:val="001D0835"/>
    <w:rsid w:val="00212991"/>
    <w:rsid w:val="00224CB8"/>
    <w:rsid w:val="002272C9"/>
    <w:rsid w:val="0023155B"/>
    <w:rsid w:val="00236451"/>
    <w:rsid w:val="00246D32"/>
    <w:rsid w:val="00253455"/>
    <w:rsid w:val="002541EE"/>
    <w:rsid w:val="00267701"/>
    <w:rsid w:val="00272CDB"/>
    <w:rsid w:val="00277FDE"/>
    <w:rsid w:val="0028272F"/>
    <w:rsid w:val="00286BA3"/>
    <w:rsid w:val="002A574C"/>
    <w:rsid w:val="002B324D"/>
    <w:rsid w:val="002B35C3"/>
    <w:rsid w:val="002D33BB"/>
    <w:rsid w:val="002F225F"/>
    <w:rsid w:val="0034071A"/>
    <w:rsid w:val="00343CB6"/>
    <w:rsid w:val="00354318"/>
    <w:rsid w:val="0038049A"/>
    <w:rsid w:val="00384637"/>
    <w:rsid w:val="003A3139"/>
    <w:rsid w:val="003B638F"/>
    <w:rsid w:val="003C24A7"/>
    <w:rsid w:val="003D0E09"/>
    <w:rsid w:val="003D1F3D"/>
    <w:rsid w:val="003F3607"/>
    <w:rsid w:val="0048606B"/>
    <w:rsid w:val="004919B8"/>
    <w:rsid w:val="00494EDE"/>
    <w:rsid w:val="0049603D"/>
    <w:rsid w:val="004C15A5"/>
    <w:rsid w:val="004C2B34"/>
    <w:rsid w:val="004C7A2D"/>
    <w:rsid w:val="00502ABD"/>
    <w:rsid w:val="00516DB0"/>
    <w:rsid w:val="005217B3"/>
    <w:rsid w:val="00542E2A"/>
    <w:rsid w:val="00551B11"/>
    <w:rsid w:val="00554D17"/>
    <w:rsid w:val="00556C6F"/>
    <w:rsid w:val="00561313"/>
    <w:rsid w:val="00582276"/>
    <w:rsid w:val="00587B4D"/>
    <w:rsid w:val="00592F01"/>
    <w:rsid w:val="005B65AF"/>
    <w:rsid w:val="005C05B8"/>
    <w:rsid w:val="005C0D97"/>
    <w:rsid w:val="005C22E3"/>
    <w:rsid w:val="005D0633"/>
    <w:rsid w:val="005E1A41"/>
    <w:rsid w:val="00600287"/>
    <w:rsid w:val="00602741"/>
    <w:rsid w:val="0061781B"/>
    <w:rsid w:val="00630C54"/>
    <w:rsid w:val="00642C33"/>
    <w:rsid w:val="00657B7F"/>
    <w:rsid w:val="00684958"/>
    <w:rsid w:val="006A6085"/>
    <w:rsid w:val="006B06DA"/>
    <w:rsid w:val="006B6CBC"/>
    <w:rsid w:val="006F13D7"/>
    <w:rsid w:val="006F4062"/>
    <w:rsid w:val="006F47E6"/>
    <w:rsid w:val="00711442"/>
    <w:rsid w:val="007132E3"/>
    <w:rsid w:val="007745F7"/>
    <w:rsid w:val="00787D8B"/>
    <w:rsid w:val="00793B52"/>
    <w:rsid w:val="007B7337"/>
    <w:rsid w:val="007C23C9"/>
    <w:rsid w:val="007C58A8"/>
    <w:rsid w:val="007D0304"/>
    <w:rsid w:val="0080128C"/>
    <w:rsid w:val="00805020"/>
    <w:rsid w:val="0082045D"/>
    <w:rsid w:val="00843320"/>
    <w:rsid w:val="00854FB0"/>
    <w:rsid w:val="00857649"/>
    <w:rsid w:val="00865966"/>
    <w:rsid w:val="00867E09"/>
    <w:rsid w:val="008879AF"/>
    <w:rsid w:val="008D65F9"/>
    <w:rsid w:val="008D6A24"/>
    <w:rsid w:val="008F02DA"/>
    <w:rsid w:val="008F3071"/>
    <w:rsid w:val="008F66C1"/>
    <w:rsid w:val="009425B0"/>
    <w:rsid w:val="009550A9"/>
    <w:rsid w:val="00955C10"/>
    <w:rsid w:val="009639D0"/>
    <w:rsid w:val="00974483"/>
    <w:rsid w:val="00997206"/>
    <w:rsid w:val="009A3B1E"/>
    <w:rsid w:val="009E2485"/>
    <w:rsid w:val="009E4FF5"/>
    <w:rsid w:val="00A04CEB"/>
    <w:rsid w:val="00A27522"/>
    <w:rsid w:val="00A27C18"/>
    <w:rsid w:val="00A30E27"/>
    <w:rsid w:val="00A537CE"/>
    <w:rsid w:val="00A77419"/>
    <w:rsid w:val="00A83921"/>
    <w:rsid w:val="00A94084"/>
    <w:rsid w:val="00AA18A2"/>
    <w:rsid w:val="00AB72A3"/>
    <w:rsid w:val="00AD4624"/>
    <w:rsid w:val="00B31FC1"/>
    <w:rsid w:val="00B83BBA"/>
    <w:rsid w:val="00BC0437"/>
    <w:rsid w:val="00BC45CC"/>
    <w:rsid w:val="00BE5206"/>
    <w:rsid w:val="00BF16B4"/>
    <w:rsid w:val="00C30163"/>
    <w:rsid w:val="00C31C17"/>
    <w:rsid w:val="00C556E5"/>
    <w:rsid w:val="00C61C8E"/>
    <w:rsid w:val="00C76262"/>
    <w:rsid w:val="00C8657A"/>
    <w:rsid w:val="00C9483A"/>
    <w:rsid w:val="00C94AED"/>
    <w:rsid w:val="00CB2BD9"/>
    <w:rsid w:val="00CB2E8C"/>
    <w:rsid w:val="00CE59A0"/>
    <w:rsid w:val="00D03E4F"/>
    <w:rsid w:val="00D11FA6"/>
    <w:rsid w:val="00D12BAC"/>
    <w:rsid w:val="00D1370C"/>
    <w:rsid w:val="00D2779B"/>
    <w:rsid w:val="00D60BF3"/>
    <w:rsid w:val="00D61EFF"/>
    <w:rsid w:val="00D621FB"/>
    <w:rsid w:val="00D76C7E"/>
    <w:rsid w:val="00DB2F6B"/>
    <w:rsid w:val="00DC15F5"/>
    <w:rsid w:val="00DE7E3D"/>
    <w:rsid w:val="00DF36F8"/>
    <w:rsid w:val="00E2000D"/>
    <w:rsid w:val="00E35CDA"/>
    <w:rsid w:val="00E373F2"/>
    <w:rsid w:val="00E57C29"/>
    <w:rsid w:val="00E62D3D"/>
    <w:rsid w:val="00E755E7"/>
    <w:rsid w:val="00E82EB2"/>
    <w:rsid w:val="00EA1B00"/>
    <w:rsid w:val="00EC4284"/>
    <w:rsid w:val="00ED1350"/>
    <w:rsid w:val="00F03094"/>
    <w:rsid w:val="00F21B36"/>
    <w:rsid w:val="00F4684A"/>
    <w:rsid w:val="00F50329"/>
    <w:rsid w:val="00F63554"/>
    <w:rsid w:val="00F702CD"/>
    <w:rsid w:val="00F81E75"/>
    <w:rsid w:val="00F82F27"/>
    <w:rsid w:val="00F927B3"/>
    <w:rsid w:val="00FB0475"/>
    <w:rsid w:val="00FC0006"/>
    <w:rsid w:val="00FC1748"/>
    <w:rsid w:val="00FC4DE9"/>
    <w:rsid w:val="00FC5E6A"/>
    <w:rsid w:val="00FF3CE5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47B16E"/>
  <w15:docId w15:val="{34E6A929-0B44-4CE9-986A-ACB62A13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3B52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39"/>
    <w:rsid w:val="004C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C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D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D97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D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D97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F4684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68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1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0.sv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hyperlink" Target="http://www.welt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://www.breaking-news-saarland.de/saar-virologe-raet-in-corona-sendung-dazu-whisky-zu-trinken/" TargetMode="External"/><Relationship Id="rId22" Type="http://schemas.openxmlformats.org/officeDocument/2006/relationships/image" Target="media/image13.sv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0262-2888-4EB8-8567-2009034F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3</Pages>
  <Words>543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Pennekendorf Martina</dc:creator>
  <cp:lastModifiedBy>#lesen.bayern</cp:lastModifiedBy>
  <cp:revision>3</cp:revision>
  <cp:lastPrinted>2020-04-23T12:45:00Z</cp:lastPrinted>
  <dcterms:created xsi:type="dcterms:W3CDTF">2023-12-05T06:53:00Z</dcterms:created>
  <dcterms:modified xsi:type="dcterms:W3CDTF">2023-12-05T09:40:00Z</dcterms:modified>
</cp:coreProperties>
</file>