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9EAFB" w14:textId="390B816B" w:rsidR="006F13D7" w:rsidRPr="00B10725" w:rsidRDefault="00527868" w:rsidP="00B107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Digitale Tools zu</w:t>
      </w:r>
      <w:r w:rsidR="00BC5333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r</w:t>
      </w: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 Unterstütz</w:t>
      </w:r>
      <w:r w:rsidR="00BC5333"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ung</w:t>
      </w:r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 xml:space="preserve"> von Lesestrategien</w:t>
      </w:r>
    </w:p>
    <w:p w14:paraId="3CF8501D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1D263377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6F13D7" w14:paraId="70952F1F" w14:textId="77777777" w:rsidTr="00AB55A9">
        <w:tc>
          <w:tcPr>
            <w:tcW w:w="2376" w:type="dxa"/>
          </w:tcPr>
          <w:p w14:paraId="5D912848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  <w:bookmarkStart w:id="0" w:name="_GoBack"/>
            <w:bookmarkEnd w:id="0"/>
          </w:p>
        </w:tc>
        <w:tc>
          <w:tcPr>
            <w:tcW w:w="6910" w:type="dxa"/>
          </w:tcPr>
          <w:p w14:paraId="24C33A02" w14:textId="479128C9" w:rsidR="006F13D7" w:rsidRPr="00C21733" w:rsidRDefault="006E548A" w:rsidP="007B482C">
            <w:pPr>
              <w:rPr>
                <w:rFonts w:ascii="Arial" w:hAnsi="Arial" w:cs="Arial"/>
                <w:sz w:val="22"/>
              </w:rPr>
            </w:pPr>
            <w:r w:rsidRPr="00C21733">
              <w:rPr>
                <w:rFonts w:ascii="Arial" w:hAnsi="Arial" w:cs="Arial"/>
                <w:sz w:val="22"/>
              </w:rPr>
              <w:t xml:space="preserve">alle Schularten </w:t>
            </w:r>
          </w:p>
        </w:tc>
      </w:tr>
      <w:tr w:rsidR="006F13D7" w:rsidRPr="006F13D7" w14:paraId="693C24E2" w14:textId="77777777" w:rsidTr="00AB55A9">
        <w:tc>
          <w:tcPr>
            <w:tcW w:w="2376" w:type="dxa"/>
          </w:tcPr>
          <w:p w14:paraId="263DB4A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14:paraId="2847E580" w14:textId="2E9FBB34" w:rsidR="006F13D7" w:rsidRPr="00C21733" w:rsidRDefault="00527868" w:rsidP="009A4E3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 w:rsidR="00227192">
              <w:rPr>
                <w:rFonts w:ascii="Arial" w:hAnsi="Arial" w:cs="Arial"/>
                <w:sz w:val="22"/>
              </w:rPr>
              <w:t xml:space="preserve"> </w:t>
            </w:r>
            <w:r w:rsidR="00EE7149">
              <w:rPr>
                <w:rFonts w:ascii="Arial" w:hAnsi="Arial" w:cs="Arial"/>
                <w:sz w:val="22"/>
              </w:rPr>
              <w:t>–</w:t>
            </w:r>
            <w:r w:rsidR="007D636E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13</w:t>
            </w:r>
          </w:p>
        </w:tc>
      </w:tr>
      <w:tr w:rsidR="006F13D7" w:rsidRPr="006F13D7" w14:paraId="4379CAF2" w14:textId="77777777" w:rsidTr="00AB55A9">
        <w:tc>
          <w:tcPr>
            <w:tcW w:w="2376" w:type="dxa"/>
          </w:tcPr>
          <w:p w14:paraId="435FD395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14:paraId="4E44E108" w14:textId="3EFD26BF" w:rsidR="006F13D7" w:rsidRPr="00C21733" w:rsidRDefault="00BC5333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527868">
              <w:rPr>
                <w:rFonts w:ascii="Arial" w:hAnsi="Arial" w:cs="Arial"/>
                <w:sz w:val="22"/>
              </w:rPr>
              <w:t>lle Fächer</w:t>
            </w:r>
          </w:p>
        </w:tc>
      </w:tr>
      <w:tr w:rsidR="006F13D7" w:rsidRPr="006F13D7" w14:paraId="3E5D6793" w14:textId="77777777" w:rsidTr="00AB55A9">
        <w:tc>
          <w:tcPr>
            <w:tcW w:w="2376" w:type="dxa"/>
          </w:tcPr>
          <w:p w14:paraId="326B73FE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5F4D9516" w14:textId="089E2FDE" w:rsidR="006F13D7" w:rsidRPr="006F13D7" w:rsidRDefault="00527868" w:rsidP="00AB55A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</w:t>
            </w:r>
            <w:r w:rsidR="00F42E9D">
              <w:rPr>
                <w:rFonts w:ascii="Arial" w:hAnsi="Arial" w:cs="Arial"/>
                <w:sz w:val="22"/>
              </w:rPr>
              <w:t>iterarische</w:t>
            </w:r>
            <w:r w:rsidR="007E74F6">
              <w:rPr>
                <w:rFonts w:ascii="Arial" w:hAnsi="Arial" w:cs="Arial"/>
                <w:sz w:val="22"/>
              </w:rPr>
              <w:t xml:space="preserve"> Texte</w:t>
            </w:r>
            <w:r w:rsidR="00054005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Sachtexte</w:t>
            </w:r>
            <w:r w:rsidR="00054005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>diskontinuierliche Texte</w:t>
            </w:r>
            <w:r w:rsidR="00E536AB">
              <w:rPr>
                <w:rFonts w:ascii="Arial" w:hAnsi="Arial" w:cs="Arial"/>
                <w:sz w:val="22"/>
              </w:rPr>
              <w:t xml:space="preserve"> in digitalem Format</w:t>
            </w:r>
          </w:p>
        </w:tc>
      </w:tr>
      <w:tr w:rsidR="0063322A" w:rsidRPr="006F13D7" w14:paraId="1926EE47" w14:textId="77777777" w:rsidTr="0063322A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B8DF" w14:textId="77777777" w:rsidR="0063322A" w:rsidRPr="006F13D7" w:rsidRDefault="0063322A" w:rsidP="00056580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D875" w14:textId="7FF9C85E" w:rsidR="0063322A" w:rsidRPr="006F13D7" w:rsidRDefault="00FA160F" w:rsidP="00056580">
            <w:pPr>
              <w:rPr>
                <w:rFonts w:ascii="Arial" w:hAnsi="Arial" w:cs="Arial"/>
                <w:sz w:val="22"/>
              </w:rPr>
            </w:pPr>
            <w:r w:rsidRPr="00FA160F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31A15CF" wp14:editId="5CD7FF06">
                      <wp:simplePos x="0" y="0"/>
                      <wp:positionH relativeFrom="column">
                        <wp:posOffset>2593340</wp:posOffset>
                      </wp:positionH>
                      <wp:positionV relativeFrom="paragraph">
                        <wp:posOffset>70485</wp:posOffset>
                      </wp:positionV>
                      <wp:extent cx="1506220" cy="1404620"/>
                      <wp:effectExtent l="0" t="0" r="0" b="0"/>
                      <wp:wrapSquare wrapText="bothSides"/>
                      <wp:docPr id="6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62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B5CB3A" w14:textId="4E5E8EDC" w:rsidR="00FA160F" w:rsidRPr="00FA160F" w:rsidRDefault="00FA160F" w:rsidP="00FA160F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FA160F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6B1903F" wp14:editId="6C360110">
                                        <wp:extent cx="1314450" cy="1295400"/>
                                        <wp:effectExtent l="0" t="0" r="0" b="0"/>
                                        <wp:docPr id="7" name="Grafik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14450" cy="1295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Lesestrategien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#lesen.bayern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04.2pt;margin-top:5.55pt;width:118.6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" stroked="f">
                      <v:textbox style="mso-fit-shape-to-text:t">
                        <w:txbxContent>
                          <w:p w14:paraId="3BB5CB3A" w14:textId="4E5E8EDC" w:rsidR="00FA160F" w:rsidRPr="00FA160F" w:rsidRDefault="00FA160F" w:rsidP="00FA160F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FA160F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6B1903F" wp14:editId="6C360110">
                                  <wp:extent cx="1314450" cy="1295400"/>
                                  <wp:effectExtent l="0" t="0" r="0" b="0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Lesestrategien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  <w:t>#lesen.bayern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C5333">
              <w:rPr>
                <w:rFonts w:ascii="Arial" w:hAnsi="Arial" w:cs="Arial"/>
                <w:sz w:val="22"/>
              </w:rPr>
              <w:t xml:space="preserve">Viele herkömmliche </w:t>
            </w:r>
            <w:r>
              <w:rPr>
                <w:rFonts w:ascii="Arial" w:hAnsi="Arial" w:cs="Arial"/>
                <w:sz w:val="22"/>
              </w:rPr>
              <w:t xml:space="preserve">Methoden und </w:t>
            </w:r>
            <w:r w:rsidR="00BC5333">
              <w:rPr>
                <w:rFonts w:ascii="Arial" w:hAnsi="Arial" w:cs="Arial"/>
                <w:sz w:val="22"/>
              </w:rPr>
              <w:t>Lesestrategien, z.</w:t>
            </w:r>
            <w:r w:rsidR="00227192">
              <w:rPr>
                <w:rFonts w:ascii="Arial" w:hAnsi="Arial" w:cs="Arial"/>
                <w:sz w:val="22"/>
              </w:rPr>
              <w:t xml:space="preserve"> </w:t>
            </w:r>
            <w:r w:rsidR="00BC5333">
              <w:rPr>
                <w:rFonts w:ascii="Arial" w:hAnsi="Arial" w:cs="Arial"/>
                <w:sz w:val="22"/>
              </w:rPr>
              <w:t>B. Lesen Schritt für Schritt</w:t>
            </w:r>
            <w:r w:rsidR="00054005">
              <w:rPr>
                <w:rFonts w:ascii="Arial" w:hAnsi="Arial" w:cs="Arial"/>
                <w:sz w:val="22"/>
              </w:rPr>
              <w:t>,</w:t>
            </w:r>
            <w:r w:rsidR="00BC5333">
              <w:rPr>
                <w:rFonts w:ascii="Arial" w:hAnsi="Arial" w:cs="Arial"/>
                <w:sz w:val="22"/>
              </w:rPr>
              <w:t xml:space="preserve"> Text-Trio</w:t>
            </w:r>
            <w:r w:rsidR="00054005">
              <w:rPr>
                <w:rFonts w:ascii="Arial" w:hAnsi="Arial" w:cs="Arial"/>
                <w:sz w:val="22"/>
              </w:rPr>
              <w:t xml:space="preserve"> etc.</w:t>
            </w:r>
            <w:r w:rsidR="00A943C0">
              <w:rPr>
                <w:rFonts w:ascii="Arial" w:hAnsi="Arial" w:cs="Arial"/>
                <w:sz w:val="22"/>
              </w:rPr>
              <w:t xml:space="preserve"> …</w:t>
            </w:r>
            <w:r w:rsidR="00BC5333">
              <w:rPr>
                <w:rFonts w:ascii="Arial" w:hAnsi="Arial" w:cs="Arial"/>
                <w:sz w:val="22"/>
              </w:rPr>
              <w:t xml:space="preserve"> können gewinnbringend durch digitale Tools unterstützt werden.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BC5333">
              <w:rPr>
                <w:rFonts w:ascii="Arial" w:hAnsi="Arial" w:cs="Arial"/>
                <w:sz w:val="22"/>
              </w:rPr>
              <w:t xml:space="preserve">Bei der Bearbeitung eines Textes zur Erschließung bleibt ein digitaler Text immer übersichtlich, Handschriften spielen keine Rolle, </w:t>
            </w:r>
            <w:r w:rsidR="00A943C0">
              <w:rPr>
                <w:rFonts w:ascii="Arial" w:hAnsi="Arial" w:cs="Arial"/>
                <w:sz w:val="22"/>
              </w:rPr>
              <w:t xml:space="preserve">Schreib- und Leseberatung durch </w:t>
            </w:r>
            <w:r w:rsidR="00054005">
              <w:rPr>
                <w:rFonts w:ascii="Arial" w:hAnsi="Arial" w:cs="Arial"/>
                <w:sz w:val="22"/>
              </w:rPr>
              <w:t>Mitschüler</w:t>
            </w:r>
            <w:r w:rsidR="00227192">
              <w:rPr>
                <w:rFonts w:ascii="Arial" w:hAnsi="Arial" w:cs="Arial"/>
                <w:sz w:val="22"/>
              </w:rPr>
              <w:t>innen und Mitschülern</w:t>
            </w:r>
            <w:r w:rsidR="00A943C0">
              <w:rPr>
                <w:rFonts w:ascii="Arial" w:hAnsi="Arial" w:cs="Arial"/>
                <w:sz w:val="22"/>
              </w:rPr>
              <w:t xml:space="preserve"> ist leicht </w:t>
            </w:r>
            <w:r w:rsidR="008F238D">
              <w:rPr>
                <w:rFonts w:ascii="Arial" w:hAnsi="Arial" w:cs="Arial"/>
                <w:sz w:val="22"/>
              </w:rPr>
              <w:t>umsetzbar</w:t>
            </w:r>
            <w:r w:rsidR="00A943C0">
              <w:rPr>
                <w:rFonts w:ascii="Arial" w:hAnsi="Arial" w:cs="Arial"/>
                <w:sz w:val="22"/>
              </w:rPr>
              <w:t xml:space="preserve">, </w:t>
            </w:r>
            <w:r w:rsidR="00BC5333">
              <w:rPr>
                <w:rFonts w:ascii="Arial" w:hAnsi="Arial" w:cs="Arial"/>
                <w:sz w:val="22"/>
              </w:rPr>
              <w:t xml:space="preserve">Inhalte können bequem </w:t>
            </w:r>
            <w:r w:rsidR="00A943C0">
              <w:rPr>
                <w:rFonts w:ascii="Arial" w:hAnsi="Arial" w:cs="Arial"/>
                <w:sz w:val="22"/>
              </w:rPr>
              <w:t>vervielf</w:t>
            </w:r>
            <w:r w:rsidR="00C5576E">
              <w:rPr>
                <w:rFonts w:ascii="Arial" w:hAnsi="Arial" w:cs="Arial"/>
                <w:sz w:val="22"/>
              </w:rPr>
              <w:t>ältig</w:t>
            </w:r>
            <w:r w:rsidR="00A943C0">
              <w:rPr>
                <w:rFonts w:ascii="Arial" w:hAnsi="Arial" w:cs="Arial"/>
                <w:sz w:val="22"/>
              </w:rPr>
              <w:t xml:space="preserve">t, </w:t>
            </w:r>
            <w:r w:rsidR="00BC5333">
              <w:rPr>
                <w:rFonts w:ascii="Arial" w:hAnsi="Arial" w:cs="Arial"/>
                <w:sz w:val="22"/>
              </w:rPr>
              <w:t>geteilt und präsentiert werden</w:t>
            </w:r>
            <w:r w:rsidR="00A943C0">
              <w:rPr>
                <w:rFonts w:ascii="Arial" w:hAnsi="Arial" w:cs="Arial"/>
                <w:sz w:val="22"/>
              </w:rPr>
              <w:t xml:space="preserve">. </w:t>
            </w:r>
          </w:p>
        </w:tc>
      </w:tr>
      <w:tr w:rsidR="006F13D7" w:rsidRPr="006F13D7" w14:paraId="6C29EE5E" w14:textId="77777777" w:rsidTr="00AB55A9">
        <w:tc>
          <w:tcPr>
            <w:tcW w:w="2376" w:type="dxa"/>
          </w:tcPr>
          <w:p w14:paraId="205B528A" w14:textId="32579542" w:rsidR="006F13D7" w:rsidRPr="00EB2052" w:rsidRDefault="0063322A" w:rsidP="00AB55A9">
            <w:pPr>
              <w:rPr>
                <w:rFonts w:ascii="Arial" w:hAnsi="Arial" w:cs="Arial"/>
                <w:b/>
                <w:sz w:val="22"/>
              </w:rPr>
            </w:pPr>
            <w:r w:rsidRPr="00EB2052"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EB2052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6A7A2D54" w14:textId="25CD870E" w:rsidR="001570B8" w:rsidRPr="00EB2052" w:rsidRDefault="003260BC" w:rsidP="00EB2052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#lesen.bayern</w:t>
            </w:r>
            <w:r w:rsidR="00E74368">
              <w:rPr>
                <w:rFonts w:ascii="Arial" w:hAnsi="Arial" w:cs="Arial"/>
                <w:sz w:val="22"/>
              </w:rPr>
              <w:br/>
            </w:r>
            <w:r w:rsidR="00E74368" w:rsidRPr="00E74368">
              <w:rPr>
                <w:rFonts w:ascii="Arial" w:hAnsi="Arial" w:cs="Arial"/>
                <w:sz w:val="22"/>
              </w:rPr>
              <w:t>www.lesen.bayern.de/methoden/</w:t>
            </w:r>
          </w:p>
        </w:tc>
      </w:tr>
      <w:tr w:rsidR="006F13D7" w:rsidRPr="006F13D7" w14:paraId="2F91068C" w14:textId="77777777" w:rsidTr="00AB55A9">
        <w:tc>
          <w:tcPr>
            <w:tcW w:w="2376" w:type="dxa"/>
          </w:tcPr>
          <w:p w14:paraId="1FAA79D9" w14:textId="77777777" w:rsidR="006F13D7" w:rsidRPr="006F13D7" w:rsidRDefault="006F13D7" w:rsidP="00AB55A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14:paraId="6A112A4F" w14:textId="7536300D" w:rsidR="006F13D7" w:rsidRPr="006F13D7" w:rsidRDefault="000653BF" w:rsidP="007B482C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Lesetext</w:t>
            </w:r>
            <w:r w:rsidR="00527868">
              <w:rPr>
                <w:rFonts w:ascii="Arial" w:hAnsi="Arial" w:cs="Arial"/>
                <w:sz w:val="22"/>
              </w:rPr>
              <w:t xml:space="preserve"> in digitalem Format mit Textverarbeitungsprogramm</w:t>
            </w:r>
          </w:p>
        </w:tc>
      </w:tr>
    </w:tbl>
    <w:p w14:paraId="11D597F9" w14:textId="77777777" w:rsidR="00AB0F15" w:rsidRDefault="00AB0F15" w:rsidP="006F13D7">
      <w:pPr>
        <w:rPr>
          <w:rFonts w:ascii="Arial" w:hAnsi="Arial" w:cs="Arial"/>
          <w:sz w:val="22"/>
        </w:rPr>
      </w:pPr>
    </w:p>
    <w:p w14:paraId="3636590B" w14:textId="77777777" w:rsidR="007B482C" w:rsidRDefault="007B482C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F13D7" w:rsidRPr="006F13D7" w14:paraId="3F1D9EC8" w14:textId="77777777" w:rsidTr="002B29D8">
        <w:trPr>
          <w:trHeight w:val="1029"/>
        </w:trPr>
        <w:tc>
          <w:tcPr>
            <w:tcW w:w="9210" w:type="dxa"/>
          </w:tcPr>
          <w:p w14:paraId="374076E2" w14:textId="7BAD15E6" w:rsidR="007B482C" w:rsidRPr="006F13D7" w:rsidRDefault="00BC5333" w:rsidP="002B29D8">
            <w:pPr>
              <w:spacing w:after="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eastAsia="Times New Roman" w:hAnsi="Arial" w:cs="Arial"/>
                <w:b/>
                <w:color w:val="000000"/>
                <w:spacing w:val="5"/>
                <w:sz w:val="34"/>
                <w:szCs w:val="52"/>
              </w:rPr>
              <w:lastRenderedPageBreak/>
              <w:t>Digitale Tools zur Unterstützung von Lesestrategien</w:t>
            </w:r>
            <w:r w:rsidR="0008457B">
              <w:t xml:space="preserve"> </w:t>
            </w:r>
            <w:r w:rsidR="0008457B" w:rsidRPr="0008457B">
              <w:rPr>
                <w:rFonts w:ascii="Arial" w:eastAsia="Times New Roman" w:hAnsi="Arial" w:cs="Arial"/>
                <w:b/>
                <w:color w:val="000000"/>
                <w:spacing w:val="5"/>
                <w:sz w:val="34"/>
                <w:szCs w:val="52"/>
              </w:rPr>
              <w:t>Methodenkarte – Lehrkraft</w:t>
            </w:r>
          </w:p>
        </w:tc>
      </w:tr>
      <w:tr w:rsidR="006F13D7" w:rsidRPr="006F13D7" w14:paraId="3C05E4B7" w14:textId="77777777" w:rsidTr="00AB55A9">
        <w:tc>
          <w:tcPr>
            <w:tcW w:w="9210" w:type="dxa"/>
          </w:tcPr>
          <w:p w14:paraId="5167C3EA" w14:textId="1EC9BFBB" w:rsidR="0063322A" w:rsidRDefault="00495DF0" w:rsidP="0063322A">
            <w:pPr>
              <w:jc w:val="both"/>
              <w:rPr>
                <w:rFonts w:ascii="Arial" w:hAnsi="Arial" w:cs="Arial"/>
                <w:b/>
                <w:sz w:val="22"/>
                <w:u w:val="single"/>
              </w:rPr>
            </w:pPr>
            <w:r w:rsidRPr="009F6522">
              <w:rPr>
                <w:rFonts w:ascii="Arial" w:hAnsi="Arial" w:cs="Arial"/>
                <w:noProof/>
                <w:sz w:val="22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560EDD7" wp14:editId="41A14B35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60325</wp:posOffset>
                      </wp:positionV>
                      <wp:extent cx="1379220" cy="1974850"/>
                      <wp:effectExtent l="0" t="0" r="0" b="6350"/>
                      <wp:wrapSquare wrapText="bothSides"/>
                      <wp:docPr id="8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197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30E2D" w14:textId="17B00B33" w:rsidR="009F6522" w:rsidRPr="00AE5D4A" w:rsidRDefault="00AE5D4A" w:rsidP="00AE5D4A">
                                  <w:pPr>
                                    <w:jc w:val="righ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E5D4A"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05BBBC29" wp14:editId="729BFF2B">
                                        <wp:extent cx="1014545" cy="998003"/>
                                        <wp:effectExtent l="0" t="0" r="0" b="0"/>
                                        <wp:docPr id="4" name="Grafik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1104" cy="10438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AE5D4A">
                                    <w:t xml:space="preserve"> </w:t>
                                  </w:r>
                                  <w:hyperlink r:id="rId11" w:history="1">
                                    <w:r w:rsidR="009F6522" w:rsidRPr="007A76FE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</w:rPr>
                                      <w:t xml:space="preserve">Überblick über Lesetechniken </w:t>
                                    </w:r>
                                    <w:r w:rsidRPr="007A76FE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</w:r>
                                    <w:r w:rsidR="009F6522" w:rsidRPr="007A76FE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</w:rPr>
                                      <w:t>und Lesestra</w:t>
                                    </w:r>
                                    <w:r w:rsidRPr="007A76FE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</w:rPr>
                                      <w:t>te</w:t>
                                    </w:r>
                                    <w:r w:rsidR="009F6522" w:rsidRPr="007A76FE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</w:rPr>
                                      <w:t xml:space="preserve">gien </w:t>
                                    </w:r>
                                    <w:r w:rsidR="009F6522" w:rsidRPr="007A76FE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</w:rPr>
                                      <w:br/>
                                      <w:t>#l</w:t>
                                    </w:r>
                                    <w:r w:rsidRPr="007A76FE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</w:rPr>
                                      <w:t>e</w:t>
                                    </w:r>
                                    <w:r w:rsidR="009F6522" w:rsidRPr="007A76FE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</w:rPr>
                                      <w:t>sen.bayern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34.8pt;margin-top:4.75pt;width:108.6pt;height:15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" stroked="f">
                      <v:textbox>
                        <w:txbxContent>
                          <w:p w14:paraId="5C830E2D" w14:textId="17B00B33" w:rsidR="009F6522" w:rsidRPr="00AE5D4A" w:rsidRDefault="00AE5D4A" w:rsidP="00AE5D4A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AE5D4A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5BBBC29" wp14:editId="729BFF2B">
                                  <wp:extent cx="1014545" cy="998003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1104" cy="1043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D4A">
                              <w:t xml:space="preserve"> </w:t>
                            </w:r>
                            <w:hyperlink r:id="rId13" w:history="1">
                              <w:r w:rsidR="009F6522" w:rsidRPr="007A76F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 xml:space="preserve">Überblick über Lesetechniken </w:t>
                              </w:r>
                              <w:r w:rsidRPr="007A76F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br/>
                              </w:r>
                              <w:r w:rsidR="009F6522" w:rsidRPr="007A76F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und Lesestra</w:t>
                              </w:r>
                              <w:r w:rsidRPr="007A76F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te</w:t>
                              </w:r>
                              <w:r w:rsidR="009F6522" w:rsidRPr="007A76F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 xml:space="preserve">gien </w:t>
                              </w:r>
                              <w:r w:rsidR="009F6522" w:rsidRPr="007A76F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br/>
                                <w:t>#</w:t>
                              </w:r>
                              <w:proofErr w:type="spellStart"/>
                              <w:r w:rsidR="009F6522" w:rsidRPr="007A76F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l</w:t>
                              </w:r>
                              <w:r w:rsidRPr="007A76F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e</w:t>
                              </w:r>
                              <w:r w:rsidR="009F6522" w:rsidRPr="007A76FE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</w:rPr>
                                <w:t>sen.bayern</w:t>
                              </w:r>
                              <w:proofErr w:type="spellEnd"/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25407" w:rsidRPr="00325407">
              <w:rPr>
                <w:rFonts w:ascii="Arial" w:hAnsi="Arial" w:cs="Arial"/>
                <w:b/>
                <w:sz w:val="22"/>
                <w:u w:val="single"/>
              </w:rPr>
              <w:t>Basiswissen</w:t>
            </w:r>
          </w:p>
          <w:p w14:paraId="2996FE2F" w14:textId="6937DA97" w:rsidR="00325407" w:rsidRPr="007557CF" w:rsidRDefault="008F238D" w:rsidP="001B11EF">
            <w:pPr>
              <w:spacing w:before="0" w:after="0" w:line="360" w:lineRule="auto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22"/>
              </w:rPr>
              <w:t>Die Anwendung von</w:t>
            </w:r>
            <w:r w:rsidR="00A943C0">
              <w:rPr>
                <w:rFonts w:ascii="Arial" w:hAnsi="Arial" w:cs="Arial"/>
                <w:sz w:val="22"/>
              </w:rPr>
              <w:t xml:space="preserve"> Lesestrategien </w:t>
            </w:r>
            <w:r>
              <w:rPr>
                <w:rFonts w:ascii="Arial" w:hAnsi="Arial" w:cs="Arial"/>
                <w:sz w:val="22"/>
              </w:rPr>
              <w:t xml:space="preserve">hilft beim Überwinden von Textverständnisschwierigkeiten. </w:t>
            </w:r>
            <w:r w:rsidR="009F6522">
              <w:rPr>
                <w:rFonts w:ascii="Arial" w:hAnsi="Arial" w:cs="Arial"/>
                <w:sz w:val="22"/>
              </w:rPr>
              <w:t xml:space="preserve">Ist eine Lesestrategie (analog) eingeführt, kann sie jederzeit durch digitale Tools unterstützt oder umgesetzt werden. </w:t>
            </w:r>
            <w:r w:rsidR="00F42E9D">
              <w:rPr>
                <w:rFonts w:ascii="Arial" w:hAnsi="Arial" w:cs="Arial"/>
                <w:sz w:val="22"/>
              </w:rPr>
              <w:br/>
            </w:r>
          </w:p>
          <w:p w14:paraId="71D72D63" w14:textId="2D20FB63" w:rsidR="008F238D" w:rsidRPr="001B11EF" w:rsidRDefault="00495DF0" w:rsidP="001B11EF">
            <w:pPr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495DF0">
              <w:rPr>
                <w:rFonts w:ascii="Arial" w:hAnsi="Arial" w:cs="Arial"/>
                <w:b/>
                <w:noProof/>
                <w:sz w:val="22"/>
                <w:u w:val="single"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DCBD984" wp14:editId="39B66B1B">
                      <wp:simplePos x="0" y="0"/>
                      <wp:positionH relativeFrom="column">
                        <wp:posOffset>4530816</wp:posOffset>
                      </wp:positionH>
                      <wp:positionV relativeFrom="paragraph">
                        <wp:posOffset>1659563</wp:posOffset>
                      </wp:positionV>
                      <wp:extent cx="1117600" cy="1415415"/>
                      <wp:effectExtent l="0" t="0" r="6350" b="0"/>
                      <wp:wrapThrough wrapText="bothSides">
                        <wp:wrapPolygon edited="0">
                          <wp:start x="0" y="0"/>
                          <wp:lineTo x="0" y="21222"/>
                          <wp:lineTo x="21355" y="21222"/>
                          <wp:lineTo x="21355" y="0"/>
                          <wp:lineTo x="0" y="0"/>
                        </wp:wrapPolygon>
                      </wp:wrapThrough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7600" cy="1415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D2AF27" w14:textId="23685AB0" w:rsidR="00495DF0" w:rsidRDefault="00495DF0"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5450DFB5" wp14:editId="371780C9">
                                        <wp:extent cx="908434" cy="914400"/>
                                        <wp:effectExtent l="0" t="0" r="6350" b="0"/>
                                        <wp:docPr id="11" name="Grafik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1006" t="10505" r="10961" b="1095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30057" cy="9361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95DF0">
                                    <w:t xml:space="preserve"> </w:t>
                                  </w:r>
                                  <w:r>
                                    <w:br/>
                                  </w:r>
                                  <w:hyperlink r:id="rId15" w:history="1">
                                    <w:r w:rsidRPr="00495DF0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8"/>
                                      </w:rPr>
                                      <w:t xml:space="preserve">Beispiel für digital </w:t>
                                    </w:r>
                                    <w:r w:rsidRPr="00495DF0">
                                      <w:rPr>
                                        <w:rStyle w:val="Hyperlink"/>
                                        <w:rFonts w:ascii="Arial" w:hAnsi="Arial" w:cs="Arial"/>
                                        <w:sz w:val="16"/>
                                        <w:szCs w:val="18"/>
                                      </w:rPr>
                                      <w:br/>
                                      <w:t>analytisches Lesen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56.75pt;margin-top:130.65pt;width:88pt;height:111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" stroked="f">
                      <v:textbox>
                        <w:txbxContent>
                          <w:p w14:paraId="56D2AF27" w14:textId="23685AB0" w:rsidR="00495DF0" w:rsidRDefault="00495DF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450DFB5" wp14:editId="371780C9">
                                  <wp:extent cx="908434" cy="914400"/>
                                  <wp:effectExtent l="0" t="0" r="635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006" t="10505" r="10961" b="1095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0057" cy="9361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95DF0">
                              <w:t xml:space="preserve"> </w:t>
                            </w:r>
                            <w:r>
                              <w:br/>
                            </w:r>
                            <w:hyperlink r:id="rId17" w:history="1">
                              <w:r w:rsidRPr="00495DF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8"/>
                                </w:rPr>
                                <w:t xml:space="preserve">Beispiel für digital </w:t>
                              </w:r>
                              <w:r w:rsidRPr="00495DF0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8"/>
                                </w:rPr>
                                <w:br/>
                                <w:t>analytisches Lesen</w:t>
                              </w:r>
                            </w:hyperlink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="00325407" w:rsidRPr="00527868">
              <w:rPr>
                <w:rFonts w:ascii="Arial" w:hAnsi="Arial" w:cs="Arial"/>
                <w:b/>
                <w:sz w:val="22"/>
                <w:u w:val="single"/>
              </w:rPr>
              <w:t>Vorbereitung</w:t>
            </w:r>
            <w:r w:rsidR="004C1689" w:rsidRPr="00527868">
              <w:rPr>
                <w:rFonts w:ascii="Arial" w:hAnsi="Arial" w:cs="Arial"/>
                <w:b/>
                <w:sz w:val="22"/>
                <w:u w:val="single"/>
              </w:rPr>
              <w:t xml:space="preserve"> und Durchführung</w:t>
            </w:r>
            <w:r w:rsidR="001B11EF">
              <w:rPr>
                <w:rFonts w:ascii="Arial" w:hAnsi="Arial" w:cs="Arial"/>
                <w:b/>
                <w:sz w:val="22"/>
              </w:rPr>
              <w:br/>
            </w:r>
            <w:r w:rsidR="001B11EF">
              <w:rPr>
                <w:rFonts w:ascii="Arial" w:hAnsi="Arial" w:cs="Arial"/>
                <w:sz w:val="22"/>
              </w:rPr>
              <w:t>Ein Lesetext in digitalem Format und ein entsprechendes Textverarbeitungsprogramm stehen Schüler</w:t>
            </w:r>
            <w:r w:rsidR="00E74368">
              <w:rPr>
                <w:rFonts w:ascii="Arial" w:hAnsi="Arial" w:cs="Arial"/>
                <w:sz w:val="22"/>
              </w:rPr>
              <w:t>innen und Schüler</w:t>
            </w:r>
            <w:r w:rsidR="001B11EF">
              <w:rPr>
                <w:rFonts w:ascii="Arial" w:hAnsi="Arial" w:cs="Arial"/>
                <w:sz w:val="22"/>
              </w:rPr>
              <w:t xml:space="preserve"> z.</w:t>
            </w:r>
            <w:r w:rsidR="00AD274A">
              <w:rPr>
                <w:rFonts w:ascii="Arial" w:hAnsi="Arial" w:cs="Arial"/>
                <w:sz w:val="22"/>
              </w:rPr>
              <w:t>B</w:t>
            </w:r>
            <w:r w:rsidR="001B11EF">
              <w:rPr>
                <w:rFonts w:ascii="Arial" w:hAnsi="Arial" w:cs="Arial"/>
                <w:sz w:val="22"/>
              </w:rPr>
              <w:t>. auf Tablets zur Verfügung. Die Lehrkraft gibt die ausgewählten Lesestrategien vor. Nach der Bearbeitung können die Ergebnisse</w:t>
            </w:r>
            <w:r w:rsidR="005C3A1D">
              <w:rPr>
                <w:rFonts w:ascii="Arial" w:hAnsi="Arial" w:cs="Arial"/>
                <w:sz w:val="22"/>
              </w:rPr>
              <w:t xml:space="preserve"> z.</w:t>
            </w:r>
            <w:r w:rsidR="00E74368">
              <w:rPr>
                <w:rFonts w:ascii="Arial" w:hAnsi="Arial" w:cs="Arial"/>
                <w:sz w:val="22"/>
              </w:rPr>
              <w:t xml:space="preserve"> </w:t>
            </w:r>
            <w:r w:rsidR="005C3A1D">
              <w:rPr>
                <w:rFonts w:ascii="Arial" w:hAnsi="Arial" w:cs="Arial"/>
                <w:sz w:val="22"/>
              </w:rPr>
              <w:t>B.</w:t>
            </w:r>
            <w:r w:rsidR="001B11EF">
              <w:rPr>
                <w:rFonts w:ascii="Arial" w:hAnsi="Arial" w:cs="Arial"/>
                <w:sz w:val="22"/>
              </w:rPr>
              <w:t xml:space="preserve"> </w:t>
            </w:r>
            <w:r w:rsidR="00AF3DA7">
              <w:rPr>
                <w:rFonts w:ascii="Arial" w:hAnsi="Arial" w:cs="Arial"/>
                <w:sz w:val="22"/>
              </w:rPr>
              <w:t>mit</w:t>
            </w:r>
            <w:r w:rsidR="00255BC8">
              <w:rPr>
                <w:rFonts w:ascii="Arial" w:hAnsi="Arial" w:cs="Arial"/>
                <w:sz w:val="22"/>
              </w:rPr>
              <w:t xml:space="preserve"> </w:t>
            </w:r>
            <w:r w:rsidR="00AF3DA7">
              <w:rPr>
                <w:rFonts w:ascii="Arial" w:hAnsi="Arial" w:cs="Arial"/>
                <w:sz w:val="22"/>
              </w:rPr>
              <w:t xml:space="preserve">Dokumentenkamera, </w:t>
            </w:r>
            <w:r w:rsidR="00AF3DA7" w:rsidRPr="00AF3DA7">
              <w:rPr>
                <w:rFonts w:ascii="Arial" w:hAnsi="Arial" w:cs="Arial"/>
                <w:sz w:val="22"/>
              </w:rPr>
              <w:t>Bluetooth</w:t>
            </w:r>
            <w:r w:rsidR="00AF3DA7">
              <w:rPr>
                <w:rFonts w:ascii="Arial" w:hAnsi="Arial" w:cs="Arial"/>
                <w:sz w:val="22"/>
              </w:rPr>
              <w:t xml:space="preserve">, Plattformen wie </w:t>
            </w:r>
            <w:r w:rsidR="00054005">
              <w:rPr>
                <w:rFonts w:ascii="Arial" w:hAnsi="Arial" w:cs="Arial"/>
                <w:sz w:val="22"/>
              </w:rPr>
              <w:t>m</w:t>
            </w:r>
            <w:r w:rsidR="00AF3DA7">
              <w:rPr>
                <w:rFonts w:ascii="Arial" w:hAnsi="Arial" w:cs="Arial"/>
                <w:sz w:val="22"/>
              </w:rPr>
              <w:t xml:space="preserve">ebis, … präsentiert und/oder geteilt werden. </w:t>
            </w:r>
            <w:r w:rsidR="001B11EF">
              <w:rPr>
                <w:rFonts w:ascii="Arial" w:hAnsi="Arial" w:cs="Arial"/>
                <w:sz w:val="22"/>
              </w:rPr>
              <w:br/>
            </w:r>
            <w:r w:rsidR="001B11EF" w:rsidRPr="007557CF">
              <w:rPr>
                <w:rFonts w:ascii="Arial" w:hAnsi="Arial" w:cs="Arial"/>
                <w:b/>
                <w:sz w:val="18"/>
              </w:rPr>
              <w:br/>
            </w:r>
            <w:r w:rsidR="00527868" w:rsidRPr="007557CF">
              <w:rPr>
                <w:rFonts w:ascii="Arial" w:hAnsi="Arial" w:cs="Arial"/>
                <w:b/>
                <w:sz w:val="22"/>
                <w:u w:val="single"/>
              </w:rPr>
              <w:t>Nutzung von Office-Tools beim Bearbeiten von Texten</w:t>
            </w:r>
            <w:r w:rsidR="00527868" w:rsidRPr="00527868">
              <w:rPr>
                <w:rFonts w:ascii="Arial" w:hAnsi="Arial" w:cs="Arial"/>
                <w:sz w:val="22"/>
              </w:rPr>
              <w:t xml:space="preserve"> </w:t>
            </w:r>
            <w:r w:rsidR="00527868" w:rsidRPr="00527868">
              <w:rPr>
                <w:rFonts w:ascii="Arial" w:hAnsi="Arial" w:cs="Arial"/>
                <w:sz w:val="22"/>
              </w:rPr>
              <w:br/>
            </w:r>
            <w:r w:rsidR="008F238D" w:rsidRPr="008F238D">
              <w:rPr>
                <w:rFonts w:ascii="Arial" w:hAnsi="Arial" w:cs="Arial"/>
                <w:b/>
                <w:sz w:val="22"/>
              </w:rPr>
              <w:t>zum Ordnen von Informationen:</w:t>
            </w:r>
            <w:r w:rsidR="00AD274A">
              <w:rPr>
                <w:rFonts w:ascii="Arial" w:hAnsi="Arial" w:cs="Arial"/>
                <w:sz w:val="22"/>
              </w:rPr>
              <w:t xml:space="preserve"> </w:t>
            </w:r>
            <w:r w:rsidR="00AD274A">
              <w:rPr>
                <w:rFonts w:ascii="Arial" w:hAnsi="Arial" w:cs="Arial"/>
                <w:sz w:val="22"/>
              </w:rPr>
              <w:br/>
              <w:t xml:space="preserve">- </w:t>
            </w:r>
            <w:r w:rsidR="005C3A1D">
              <w:rPr>
                <w:rFonts w:ascii="Arial" w:hAnsi="Arial" w:cs="Arial"/>
                <w:sz w:val="22"/>
              </w:rPr>
              <w:t xml:space="preserve">die </w:t>
            </w:r>
            <w:r w:rsidR="008F238D">
              <w:rPr>
                <w:rFonts w:ascii="Arial" w:hAnsi="Arial" w:cs="Arial"/>
                <w:sz w:val="22"/>
              </w:rPr>
              <w:t>(vor dem Lesen) formulierte</w:t>
            </w:r>
            <w:r w:rsidR="005C3A1D">
              <w:rPr>
                <w:rFonts w:ascii="Arial" w:hAnsi="Arial" w:cs="Arial"/>
                <w:sz w:val="22"/>
              </w:rPr>
              <w:t>n</w:t>
            </w:r>
            <w:r w:rsidR="008F238D">
              <w:rPr>
                <w:rFonts w:ascii="Arial" w:hAnsi="Arial" w:cs="Arial"/>
                <w:sz w:val="22"/>
              </w:rPr>
              <w:t xml:space="preserve"> Fragen/Hypothesen beim Lesen an der entsprechenden</w:t>
            </w:r>
            <w:r w:rsidR="005C3A1D">
              <w:rPr>
                <w:rFonts w:ascii="Arial" w:hAnsi="Arial" w:cs="Arial"/>
                <w:sz w:val="22"/>
              </w:rPr>
              <w:t xml:space="preserve"> Texts</w:t>
            </w:r>
            <w:r w:rsidR="008F238D">
              <w:rPr>
                <w:rFonts w:ascii="Arial" w:hAnsi="Arial" w:cs="Arial"/>
                <w:sz w:val="22"/>
              </w:rPr>
              <w:t xml:space="preserve">telle </w:t>
            </w:r>
            <w:r w:rsidR="005C3A1D">
              <w:rPr>
                <w:rFonts w:ascii="Arial" w:hAnsi="Arial" w:cs="Arial"/>
                <w:sz w:val="22"/>
              </w:rPr>
              <w:t xml:space="preserve">(mit Kommentarfunktion, Textfeld oder eigener Tabellenspalte) </w:t>
            </w:r>
            <w:r w:rsidR="008F238D">
              <w:rPr>
                <w:rFonts w:ascii="Arial" w:hAnsi="Arial" w:cs="Arial"/>
                <w:sz w:val="22"/>
              </w:rPr>
              <w:t>platzieren</w:t>
            </w:r>
            <w:r w:rsidR="00527868" w:rsidRPr="00527868">
              <w:rPr>
                <w:rFonts w:ascii="Arial" w:hAnsi="Arial" w:cs="Arial"/>
                <w:sz w:val="22"/>
              </w:rPr>
              <w:br/>
            </w:r>
            <w:r w:rsidR="00BC5333">
              <w:rPr>
                <w:rFonts w:ascii="Arial" w:hAnsi="Arial" w:cs="Arial"/>
                <w:sz w:val="22"/>
              </w:rPr>
              <w:t xml:space="preserve">- </w:t>
            </w:r>
            <w:r w:rsidR="00527868" w:rsidRPr="00527868">
              <w:rPr>
                <w:rFonts w:ascii="Arial" w:hAnsi="Arial" w:cs="Arial"/>
                <w:sz w:val="22"/>
              </w:rPr>
              <w:t xml:space="preserve">Zwischenüberschriften formulieren </w:t>
            </w:r>
            <w:r w:rsidR="00E536AB">
              <w:rPr>
                <w:rFonts w:ascii="Arial" w:hAnsi="Arial" w:cs="Arial"/>
                <w:sz w:val="22"/>
              </w:rPr>
              <w:t>und einfügen</w:t>
            </w:r>
          </w:p>
          <w:p w14:paraId="51BD3716" w14:textId="229EC630" w:rsidR="007557CF" w:rsidRDefault="008F238D" w:rsidP="00F004AA">
            <w:pPr>
              <w:spacing w:line="360" w:lineRule="auto"/>
              <w:rPr>
                <w:rFonts w:ascii="Arial" w:hAnsi="Arial" w:cs="Arial"/>
                <w:sz w:val="22"/>
              </w:rPr>
            </w:pPr>
            <w:r w:rsidRPr="008F238D">
              <w:rPr>
                <w:rFonts w:ascii="Arial" w:hAnsi="Arial" w:cs="Arial"/>
                <w:b/>
                <w:sz w:val="22"/>
              </w:rPr>
              <w:t>zum Elaborieren von Informationen: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527868" w:rsidRPr="00527868">
              <w:rPr>
                <w:rFonts w:ascii="Arial" w:hAnsi="Arial" w:cs="Arial"/>
                <w:sz w:val="22"/>
              </w:rPr>
              <w:br/>
            </w:r>
            <w:r w:rsidR="00BC5333">
              <w:rPr>
                <w:rFonts w:ascii="Arial" w:hAnsi="Arial" w:cs="Arial"/>
                <w:sz w:val="22"/>
              </w:rPr>
              <w:t xml:space="preserve">- </w:t>
            </w:r>
            <w:r w:rsidR="00527868" w:rsidRPr="00527868">
              <w:rPr>
                <w:rFonts w:ascii="Arial" w:hAnsi="Arial" w:cs="Arial"/>
                <w:sz w:val="22"/>
              </w:rPr>
              <w:t>Fachbegriffe</w:t>
            </w:r>
            <w:r w:rsidR="005C3A1D">
              <w:rPr>
                <w:rFonts w:ascii="Arial" w:hAnsi="Arial" w:cs="Arial"/>
                <w:sz w:val="22"/>
              </w:rPr>
              <w:t xml:space="preserve">, </w:t>
            </w:r>
            <w:r w:rsidR="00527868" w:rsidRPr="00527868">
              <w:rPr>
                <w:rFonts w:ascii="Arial" w:hAnsi="Arial" w:cs="Arial"/>
                <w:sz w:val="22"/>
              </w:rPr>
              <w:t>Fremdwörter</w:t>
            </w:r>
            <w:r w:rsidR="005C3A1D">
              <w:rPr>
                <w:rFonts w:ascii="Arial" w:hAnsi="Arial" w:cs="Arial"/>
                <w:sz w:val="22"/>
              </w:rPr>
              <w:t xml:space="preserve"> und unbekannte Wörter</w:t>
            </w:r>
            <w:r w:rsidR="00527868" w:rsidRPr="00527868">
              <w:rPr>
                <w:rFonts w:ascii="Arial" w:hAnsi="Arial" w:cs="Arial"/>
                <w:sz w:val="22"/>
              </w:rPr>
              <w:t xml:space="preserve"> durch (nachgeschlagene) Formulierungen er</w:t>
            </w:r>
            <w:r w:rsidR="00E74368">
              <w:rPr>
                <w:rFonts w:ascii="Arial" w:hAnsi="Arial" w:cs="Arial"/>
                <w:sz w:val="22"/>
              </w:rPr>
              <w:t>klären</w:t>
            </w:r>
            <w:r w:rsidR="00527868" w:rsidRPr="00527868">
              <w:rPr>
                <w:rFonts w:ascii="Arial" w:hAnsi="Arial" w:cs="Arial"/>
                <w:sz w:val="22"/>
              </w:rPr>
              <w:br/>
            </w:r>
            <w:r w:rsidR="00BC5333">
              <w:rPr>
                <w:rFonts w:ascii="Arial" w:hAnsi="Arial" w:cs="Arial"/>
                <w:sz w:val="22"/>
              </w:rPr>
              <w:t xml:space="preserve">- </w:t>
            </w:r>
            <w:r w:rsidR="00527868" w:rsidRPr="00527868">
              <w:rPr>
                <w:rFonts w:ascii="Arial" w:hAnsi="Arial" w:cs="Arial"/>
                <w:sz w:val="22"/>
              </w:rPr>
              <w:t>Schwierige Satzkonstruktionen auflösen und durch einfachere ersetzen</w:t>
            </w:r>
            <w:r w:rsidR="00527868" w:rsidRPr="00527868">
              <w:rPr>
                <w:rFonts w:ascii="Arial" w:hAnsi="Arial" w:cs="Arial"/>
                <w:sz w:val="22"/>
              </w:rPr>
              <w:br/>
            </w:r>
            <w:r w:rsidR="00BC5333">
              <w:rPr>
                <w:rFonts w:ascii="Arial" w:hAnsi="Arial" w:cs="Arial"/>
                <w:sz w:val="22"/>
              </w:rPr>
              <w:t xml:space="preserve">- </w:t>
            </w:r>
            <w:r w:rsidR="00527868" w:rsidRPr="00527868">
              <w:rPr>
                <w:rFonts w:ascii="Arial" w:hAnsi="Arial" w:cs="Arial"/>
                <w:sz w:val="22"/>
              </w:rPr>
              <w:t>Kommentarfunktion für Erklärungen, Zusatz-/Hintergrundwissen/Ordnungspunkte/ (recherchierte) bildliche Darstellungen nutzen</w:t>
            </w:r>
            <w:r w:rsidR="00EC48ED">
              <w:rPr>
                <w:rFonts w:ascii="Arial" w:hAnsi="Arial" w:cs="Arial"/>
                <w:sz w:val="22"/>
              </w:rPr>
              <w:t>; g</w:t>
            </w:r>
            <w:r w:rsidR="00054005">
              <w:rPr>
                <w:rFonts w:ascii="Arial" w:hAnsi="Arial" w:cs="Arial"/>
                <w:sz w:val="22"/>
              </w:rPr>
              <w:t>gfs.</w:t>
            </w:r>
            <w:r w:rsidR="00EC48ED">
              <w:rPr>
                <w:rFonts w:ascii="Arial" w:hAnsi="Arial" w:cs="Arial"/>
                <w:sz w:val="22"/>
              </w:rPr>
              <w:t xml:space="preserve"> Hyperlinks (zu Erklärvideos</w:t>
            </w:r>
            <w:r w:rsidR="00054005">
              <w:rPr>
                <w:rFonts w:ascii="Arial" w:hAnsi="Arial" w:cs="Arial"/>
                <w:sz w:val="22"/>
              </w:rPr>
              <w:t>, ...</w:t>
            </w:r>
            <w:r w:rsidR="00EC48ED">
              <w:rPr>
                <w:rFonts w:ascii="Arial" w:hAnsi="Arial" w:cs="Arial"/>
                <w:sz w:val="22"/>
              </w:rPr>
              <w:t>) setzen</w:t>
            </w:r>
            <w:r w:rsidR="00527868" w:rsidRPr="00527868">
              <w:rPr>
                <w:rFonts w:ascii="Arial" w:hAnsi="Arial" w:cs="Arial"/>
                <w:sz w:val="22"/>
              </w:rPr>
              <w:br/>
            </w:r>
            <w:r w:rsidR="00BC5333">
              <w:rPr>
                <w:rFonts w:ascii="Arial" w:hAnsi="Arial" w:cs="Arial"/>
                <w:sz w:val="22"/>
              </w:rPr>
              <w:t xml:space="preserve">- </w:t>
            </w:r>
            <w:r w:rsidR="00527868" w:rsidRPr="00527868">
              <w:rPr>
                <w:rFonts w:ascii="Arial" w:hAnsi="Arial" w:cs="Arial"/>
                <w:sz w:val="22"/>
              </w:rPr>
              <w:t>Bezüge farb</w:t>
            </w:r>
            <w:r w:rsidR="00E74368">
              <w:rPr>
                <w:rFonts w:ascii="Arial" w:hAnsi="Arial" w:cs="Arial"/>
                <w:sz w:val="22"/>
              </w:rPr>
              <w:t>ig</w:t>
            </w:r>
            <w:r w:rsidR="00527868" w:rsidRPr="00527868">
              <w:rPr>
                <w:rFonts w:ascii="Arial" w:hAnsi="Arial" w:cs="Arial"/>
                <w:sz w:val="22"/>
              </w:rPr>
              <w:t xml:space="preserve"> verdeutlich</w:t>
            </w:r>
            <w:r w:rsidR="00F004AA">
              <w:rPr>
                <w:rFonts w:ascii="Arial" w:hAnsi="Arial" w:cs="Arial"/>
                <w:sz w:val="22"/>
              </w:rPr>
              <w:t>en</w:t>
            </w:r>
            <w:r w:rsidR="00527868" w:rsidRPr="00527868">
              <w:rPr>
                <w:rFonts w:ascii="Arial" w:hAnsi="Arial" w:cs="Arial"/>
                <w:sz w:val="22"/>
              </w:rPr>
              <w:t xml:space="preserve"> (</w:t>
            </w:r>
            <w:r w:rsidR="00F004AA">
              <w:rPr>
                <w:rFonts w:ascii="Arial" w:hAnsi="Arial" w:cs="Arial"/>
                <w:sz w:val="22"/>
              </w:rPr>
              <w:t>z.</w:t>
            </w:r>
            <w:r w:rsidR="00E74368">
              <w:rPr>
                <w:rFonts w:ascii="Arial" w:hAnsi="Arial" w:cs="Arial"/>
                <w:sz w:val="22"/>
              </w:rPr>
              <w:t xml:space="preserve"> </w:t>
            </w:r>
            <w:r w:rsidR="00F004AA">
              <w:rPr>
                <w:rFonts w:ascii="Arial" w:hAnsi="Arial" w:cs="Arial"/>
                <w:sz w:val="22"/>
              </w:rPr>
              <w:t xml:space="preserve">B. </w:t>
            </w:r>
            <w:r w:rsidR="00527868" w:rsidRPr="00527868">
              <w:rPr>
                <w:rFonts w:ascii="Arial" w:hAnsi="Arial" w:cs="Arial"/>
                <w:sz w:val="22"/>
              </w:rPr>
              <w:t>Konjunktionen, Pronomen, Adverbien</w:t>
            </w:r>
            <w:r w:rsidR="00F004AA">
              <w:rPr>
                <w:rFonts w:ascii="Arial" w:hAnsi="Arial" w:cs="Arial"/>
                <w:sz w:val="22"/>
              </w:rPr>
              <w:t xml:space="preserve"> und ihr Bezugswort markieren</w:t>
            </w:r>
            <w:r w:rsidR="00527868" w:rsidRPr="00527868">
              <w:rPr>
                <w:rFonts w:ascii="Arial" w:hAnsi="Arial" w:cs="Arial"/>
                <w:sz w:val="22"/>
              </w:rPr>
              <w:t>)</w:t>
            </w:r>
          </w:p>
          <w:p w14:paraId="2958501B" w14:textId="3A61799C" w:rsidR="00495DF0" w:rsidRPr="00F004AA" w:rsidRDefault="008F238D" w:rsidP="00F004AA">
            <w:pPr>
              <w:spacing w:line="360" w:lineRule="auto"/>
              <w:rPr>
                <w:rFonts w:ascii="Arial" w:hAnsi="Arial" w:cs="Arial"/>
                <w:b/>
                <w:sz w:val="22"/>
                <w:u w:val="single"/>
              </w:rPr>
            </w:pPr>
            <w:r w:rsidRPr="008F238D">
              <w:rPr>
                <w:rFonts w:ascii="Arial" w:hAnsi="Arial" w:cs="Arial"/>
                <w:b/>
                <w:sz w:val="22"/>
              </w:rPr>
              <w:t>zum Verarbeiten von Inhalten: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br/>
              <w:t>- Erstellen von Schaubildern</w:t>
            </w:r>
            <w:r>
              <w:rPr>
                <w:rFonts w:ascii="Arial" w:hAnsi="Arial" w:cs="Arial"/>
                <w:sz w:val="22"/>
              </w:rPr>
              <w:br/>
              <w:t>- Markieren von Wichtigem</w:t>
            </w:r>
            <w:r w:rsidRPr="00527868">
              <w:rPr>
                <w:rFonts w:ascii="Arial" w:hAnsi="Arial" w:cs="Arial"/>
                <w:sz w:val="22"/>
              </w:rPr>
              <w:t xml:space="preserve"> </w:t>
            </w:r>
            <w:r w:rsidR="00E74368">
              <w:rPr>
                <w:rFonts w:ascii="Arial" w:hAnsi="Arial" w:cs="Arial"/>
                <w:sz w:val="22"/>
              </w:rPr>
              <w:t>(z. B. kursiv, fett, unterstreichen etc.)</w:t>
            </w:r>
            <w:r>
              <w:rPr>
                <w:rFonts w:ascii="Arial" w:hAnsi="Arial" w:cs="Arial"/>
                <w:sz w:val="22"/>
              </w:rPr>
              <w:br/>
              <w:t xml:space="preserve">- </w:t>
            </w:r>
            <w:r w:rsidRPr="00527868">
              <w:rPr>
                <w:rFonts w:ascii="Arial" w:hAnsi="Arial" w:cs="Arial"/>
                <w:sz w:val="22"/>
              </w:rPr>
              <w:t xml:space="preserve">Streichen/Löschen von Details </w:t>
            </w:r>
            <w:r w:rsidR="00F004AA">
              <w:rPr>
                <w:rFonts w:ascii="Arial" w:hAnsi="Arial" w:cs="Arial"/>
                <w:sz w:val="22"/>
              </w:rPr>
              <w:br/>
              <w:t xml:space="preserve">- </w:t>
            </w:r>
            <w:r w:rsidR="00054005">
              <w:rPr>
                <w:rFonts w:ascii="Arial" w:hAnsi="Arial" w:cs="Arial"/>
                <w:sz w:val="22"/>
              </w:rPr>
              <w:t>Textelemente</w:t>
            </w:r>
            <w:r w:rsidR="00054005" w:rsidRPr="00527868">
              <w:rPr>
                <w:rFonts w:ascii="Arial" w:hAnsi="Arial" w:cs="Arial"/>
                <w:sz w:val="22"/>
              </w:rPr>
              <w:t xml:space="preserve"> </w:t>
            </w:r>
            <w:r w:rsidR="00054005">
              <w:rPr>
                <w:rFonts w:ascii="Arial" w:hAnsi="Arial" w:cs="Arial"/>
                <w:sz w:val="22"/>
              </w:rPr>
              <w:t>(</w:t>
            </w:r>
            <w:r w:rsidR="00054005" w:rsidRPr="00527868">
              <w:rPr>
                <w:rFonts w:ascii="Arial" w:hAnsi="Arial" w:cs="Arial"/>
                <w:sz w:val="22"/>
              </w:rPr>
              <w:t>mit Copy-Paste</w:t>
            </w:r>
            <w:r w:rsidR="00054005">
              <w:rPr>
                <w:rFonts w:ascii="Arial" w:hAnsi="Arial" w:cs="Arial"/>
                <w:sz w:val="22"/>
              </w:rPr>
              <w:t>)</w:t>
            </w:r>
            <w:r w:rsidR="00054005" w:rsidRPr="00527868">
              <w:rPr>
                <w:rFonts w:ascii="Arial" w:hAnsi="Arial" w:cs="Arial"/>
                <w:sz w:val="22"/>
              </w:rPr>
              <w:t xml:space="preserve"> </w:t>
            </w:r>
            <w:r w:rsidR="00054005">
              <w:rPr>
                <w:rFonts w:ascii="Arial" w:hAnsi="Arial" w:cs="Arial"/>
                <w:sz w:val="22"/>
              </w:rPr>
              <w:t xml:space="preserve">einem </w:t>
            </w:r>
            <w:r w:rsidR="003210B9">
              <w:rPr>
                <w:rFonts w:ascii="Arial" w:hAnsi="Arial" w:cs="Arial"/>
                <w:sz w:val="22"/>
              </w:rPr>
              <w:t>(vorgegebene</w:t>
            </w:r>
            <w:r w:rsidR="00054005">
              <w:rPr>
                <w:rFonts w:ascii="Arial" w:hAnsi="Arial" w:cs="Arial"/>
                <w:sz w:val="22"/>
              </w:rPr>
              <w:t>m</w:t>
            </w:r>
            <w:r w:rsidR="003210B9">
              <w:rPr>
                <w:rFonts w:ascii="Arial" w:hAnsi="Arial" w:cs="Arial"/>
                <w:sz w:val="22"/>
              </w:rPr>
              <w:t xml:space="preserve">) </w:t>
            </w:r>
            <w:r w:rsidR="00F004AA" w:rsidRPr="00527868">
              <w:rPr>
                <w:rFonts w:ascii="Arial" w:hAnsi="Arial" w:cs="Arial"/>
                <w:sz w:val="22"/>
              </w:rPr>
              <w:t>Textmuster</w:t>
            </w:r>
            <w:r w:rsidR="00F004AA">
              <w:rPr>
                <w:rFonts w:ascii="Arial" w:hAnsi="Arial" w:cs="Arial"/>
                <w:sz w:val="22"/>
              </w:rPr>
              <w:t xml:space="preserve"> </w:t>
            </w:r>
            <w:r w:rsidR="00054005">
              <w:rPr>
                <w:rFonts w:ascii="Arial" w:hAnsi="Arial" w:cs="Arial"/>
                <w:sz w:val="22"/>
              </w:rPr>
              <w:t>zuordnen</w:t>
            </w:r>
          </w:p>
        </w:tc>
      </w:tr>
    </w:tbl>
    <w:p w14:paraId="105F4326" w14:textId="51A986DC" w:rsidR="006F13D7" w:rsidRPr="00495DF0" w:rsidRDefault="006F13D7" w:rsidP="00EC48ED">
      <w:pPr>
        <w:rPr>
          <w:rFonts w:ascii="Arial" w:hAnsi="Arial" w:cs="Arial"/>
          <w:sz w:val="16"/>
          <w:szCs w:val="16"/>
        </w:rPr>
      </w:pPr>
    </w:p>
    <w:sectPr w:rsidR="006F13D7" w:rsidRPr="00495DF0" w:rsidSect="00DE7E3D">
      <w:headerReference w:type="default" r:id="rId18"/>
      <w:footerReference w:type="default" r:id="rId19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7C6DCA" w14:textId="77777777" w:rsidR="00490124" w:rsidRDefault="00490124" w:rsidP="00DE7E3D">
      <w:pPr>
        <w:spacing w:after="0" w:line="240" w:lineRule="auto"/>
      </w:pPr>
      <w:r>
        <w:separator/>
      </w:r>
    </w:p>
  </w:endnote>
  <w:endnote w:type="continuationSeparator" w:id="0">
    <w:p w14:paraId="0C1D3B91" w14:textId="77777777" w:rsidR="00490124" w:rsidRDefault="00490124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altName w:val="Sylfaen"/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4E01B" w14:textId="77777777" w:rsidR="00235019" w:rsidRDefault="00235019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EE7149">
      <w:rPr>
        <w:noProof/>
      </w:rPr>
      <w:t>2</w:t>
    </w:r>
    <w:r>
      <w:fldChar w:fldCharType="end"/>
    </w:r>
    <w:r>
      <w:t xml:space="preserve"> von </w:t>
    </w:r>
    <w:r w:rsidR="00490124">
      <w:fldChar w:fldCharType="begin"/>
    </w:r>
    <w:r w:rsidR="00490124">
      <w:instrText xml:space="preserve"> NUMPAGES   \* MERGEFORMAT </w:instrText>
    </w:r>
    <w:r w:rsidR="00490124">
      <w:fldChar w:fldCharType="separate"/>
    </w:r>
    <w:r w:rsidR="00EE7149">
      <w:rPr>
        <w:noProof/>
      </w:rPr>
      <w:t>2</w:t>
    </w:r>
    <w:r w:rsidR="004901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313C0" w14:textId="77777777" w:rsidR="00490124" w:rsidRDefault="00490124" w:rsidP="00DE7E3D">
      <w:pPr>
        <w:spacing w:after="0" w:line="240" w:lineRule="auto"/>
      </w:pPr>
      <w:r>
        <w:separator/>
      </w:r>
    </w:p>
  </w:footnote>
  <w:footnote w:type="continuationSeparator" w:id="0">
    <w:p w14:paraId="3D5245C7" w14:textId="77777777" w:rsidR="00490124" w:rsidRDefault="00490124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235019" w:rsidRPr="00516DB0" w14:paraId="6C0EFD16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576B915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13776F61" wp14:editId="67F8A10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76A742D0" w14:textId="77777777" w:rsidR="00235019" w:rsidRPr="00516DB0" w:rsidRDefault="00235019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9BB288A" w14:textId="6CB239BF" w:rsidR="00235019" w:rsidRPr="00974483" w:rsidRDefault="00235019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</w:t>
          </w:r>
          <w:r w:rsidR="00F004AA">
            <w:rPr>
              <w:rFonts w:ascii="Arial" w:hAnsi="Arial" w:cs="Arial"/>
              <w:sz w:val="26"/>
              <w:szCs w:val="26"/>
            </w:rPr>
            <w:t>digitale Tools</w:t>
          </w:r>
          <w:r w:rsidRPr="00974483">
            <w:rPr>
              <w:rFonts w:ascii="Arial" w:hAnsi="Arial" w:cs="Arial"/>
              <w:sz w:val="26"/>
              <w:szCs w:val="26"/>
            </w:rPr>
            <w:t xml:space="preserve"> </w:t>
          </w:r>
        </w:p>
      </w:tc>
    </w:tr>
  </w:tbl>
  <w:p w14:paraId="161035B9" w14:textId="77777777" w:rsidR="00235019" w:rsidRPr="00516DB0" w:rsidRDefault="00235019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oNotDisplayPageBoundaries/>
  <w:proofState w:spelling="clean"/>
  <w:attachedTemplate r:id="rId1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17AAA"/>
    <w:rsid w:val="00026B28"/>
    <w:rsid w:val="0003512A"/>
    <w:rsid w:val="00054005"/>
    <w:rsid w:val="000653BF"/>
    <w:rsid w:val="0008457B"/>
    <w:rsid w:val="0009311F"/>
    <w:rsid w:val="000A2986"/>
    <w:rsid w:val="000C7314"/>
    <w:rsid w:val="001122DD"/>
    <w:rsid w:val="001406D6"/>
    <w:rsid w:val="00141EC8"/>
    <w:rsid w:val="001570B8"/>
    <w:rsid w:val="00170559"/>
    <w:rsid w:val="00175D4F"/>
    <w:rsid w:val="001815A2"/>
    <w:rsid w:val="001B11EF"/>
    <w:rsid w:val="001B57C8"/>
    <w:rsid w:val="00212991"/>
    <w:rsid w:val="00215863"/>
    <w:rsid w:val="00224CB8"/>
    <w:rsid w:val="00227192"/>
    <w:rsid w:val="002272C9"/>
    <w:rsid w:val="00235019"/>
    <w:rsid w:val="00246D32"/>
    <w:rsid w:val="00253455"/>
    <w:rsid w:val="00255BC8"/>
    <w:rsid w:val="00267701"/>
    <w:rsid w:val="00272CDB"/>
    <w:rsid w:val="00286BA3"/>
    <w:rsid w:val="002B07F7"/>
    <w:rsid w:val="002B29D8"/>
    <w:rsid w:val="002B35C3"/>
    <w:rsid w:val="002E12A0"/>
    <w:rsid w:val="002F7C40"/>
    <w:rsid w:val="0030314C"/>
    <w:rsid w:val="003210B9"/>
    <w:rsid w:val="00325407"/>
    <w:rsid w:val="003260BC"/>
    <w:rsid w:val="00335F0F"/>
    <w:rsid w:val="0034071A"/>
    <w:rsid w:val="00343CB6"/>
    <w:rsid w:val="0038049A"/>
    <w:rsid w:val="00383C65"/>
    <w:rsid w:val="00384637"/>
    <w:rsid w:val="003A3139"/>
    <w:rsid w:val="003C24A7"/>
    <w:rsid w:val="003D0E09"/>
    <w:rsid w:val="003F3607"/>
    <w:rsid w:val="00412062"/>
    <w:rsid w:val="004249FA"/>
    <w:rsid w:val="00446994"/>
    <w:rsid w:val="004658CC"/>
    <w:rsid w:val="0048606B"/>
    <w:rsid w:val="00490124"/>
    <w:rsid w:val="00494EDE"/>
    <w:rsid w:val="00495DF0"/>
    <w:rsid w:val="004C1689"/>
    <w:rsid w:val="004C2B34"/>
    <w:rsid w:val="004D061D"/>
    <w:rsid w:val="004D5F46"/>
    <w:rsid w:val="004F11A4"/>
    <w:rsid w:val="00502ABD"/>
    <w:rsid w:val="00504BF6"/>
    <w:rsid w:val="005129C2"/>
    <w:rsid w:val="00516DB0"/>
    <w:rsid w:val="00527868"/>
    <w:rsid w:val="00554D17"/>
    <w:rsid w:val="00556C6F"/>
    <w:rsid w:val="00582276"/>
    <w:rsid w:val="00587B4D"/>
    <w:rsid w:val="00592F01"/>
    <w:rsid w:val="005C05B8"/>
    <w:rsid w:val="005C3A1D"/>
    <w:rsid w:val="005C7C43"/>
    <w:rsid w:val="00602741"/>
    <w:rsid w:val="0063322A"/>
    <w:rsid w:val="00642C33"/>
    <w:rsid w:val="0064749C"/>
    <w:rsid w:val="00657B7F"/>
    <w:rsid w:val="00697368"/>
    <w:rsid w:val="006A4D18"/>
    <w:rsid w:val="006C2B97"/>
    <w:rsid w:val="006C3C68"/>
    <w:rsid w:val="006E548A"/>
    <w:rsid w:val="006F13D7"/>
    <w:rsid w:val="00710ADD"/>
    <w:rsid w:val="00712BAD"/>
    <w:rsid w:val="00736670"/>
    <w:rsid w:val="007557CF"/>
    <w:rsid w:val="007639D1"/>
    <w:rsid w:val="007745F7"/>
    <w:rsid w:val="00777F15"/>
    <w:rsid w:val="007A76FE"/>
    <w:rsid w:val="007B2ECF"/>
    <w:rsid w:val="007B482C"/>
    <w:rsid w:val="007D0304"/>
    <w:rsid w:val="007D636E"/>
    <w:rsid w:val="007E05A6"/>
    <w:rsid w:val="007E74F6"/>
    <w:rsid w:val="007F1A05"/>
    <w:rsid w:val="0082045D"/>
    <w:rsid w:val="00842FBC"/>
    <w:rsid w:val="00843320"/>
    <w:rsid w:val="008470F1"/>
    <w:rsid w:val="008511D8"/>
    <w:rsid w:val="00854FB0"/>
    <w:rsid w:val="008B64ED"/>
    <w:rsid w:val="008B7C84"/>
    <w:rsid w:val="008F02DA"/>
    <w:rsid w:val="008F20A2"/>
    <w:rsid w:val="008F238D"/>
    <w:rsid w:val="008F3071"/>
    <w:rsid w:val="00944B5B"/>
    <w:rsid w:val="009550A9"/>
    <w:rsid w:val="00955C10"/>
    <w:rsid w:val="00974483"/>
    <w:rsid w:val="009A0980"/>
    <w:rsid w:val="009A3B1E"/>
    <w:rsid w:val="009A4E3C"/>
    <w:rsid w:val="009F6522"/>
    <w:rsid w:val="00A10490"/>
    <w:rsid w:val="00A30E27"/>
    <w:rsid w:val="00A65A80"/>
    <w:rsid w:val="00A77419"/>
    <w:rsid w:val="00A77CA0"/>
    <w:rsid w:val="00A83921"/>
    <w:rsid w:val="00A93277"/>
    <w:rsid w:val="00A943C0"/>
    <w:rsid w:val="00AB0F15"/>
    <w:rsid w:val="00AB55A9"/>
    <w:rsid w:val="00AB72A3"/>
    <w:rsid w:val="00AD274A"/>
    <w:rsid w:val="00AD394C"/>
    <w:rsid w:val="00AE2981"/>
    <w:rsid w:val="00AE5D4A"/>
    <w:rsid w:val="00AF3DA7"/>
    <w:rsid w:val="00B10725"/>
    <w:rsid w:val="00B31FC1"/>
    <w:rsid w:val="00B7403E"/>
    <w:rsid w:val="00B83BBA"/>
    <w:rsid w:val="00BB000F"/>
    <w:rsid w:val="00BC5333"/>
    <w:rsid w:val="00BE5206"/>
    <w:rsid w:val="00BF16B4"/>
    <w:rsid w:val="00C21733"/>
    <w:rsid w:val="00C30163"/>
    <w:rsid w:val="00C34DC9"/>
    <w:rsid w:val="00C556E5"/>
    <w:rsid w:val="00C5576E"/>
    <w:rsid w:val="00C76262"/>
    <w:rsid w:val="00C7719F"/>
    <w:rsid w:val="00C9406F"/>
    <w:rsid w:val="00C94AED"/>
    <w:rsid w:val="00CB2E8C"/>
    <w:rsid w:val="00CD1EB5"/>
    <w:rsid w:val="00CD71F3"/>
    <w:rsid w:val="00D11FA6"/>
    <w:rsid w:val="00D1370C"/>
    <w:rsid w:val="00D2779B"/>
    <w:rsid w:val="00D73BFF"/>
    <w:rsid w:val="00D76C7E"/>
    <w:rsid w:val="00D80891"/>
    <w:rsid w:val="00D934BE"/>
    <w:rsid w:val="00DB2F6B"/>
    <w:rsid w:val="00DE7E3D"/>
    <w:rsid w:val="00E05727"/>
    <w:rsid w:val="00E13CC9"/>
    <w:rsid w:val="00E2307A"/>
    <w:rsid w:val="00E373F2"/>
    <w:rsid w:val="00E536AB"/>
    <w:rsid w:val="00E57C29"/>
    <w:rsid w:val="00E66A1A"/>
    <w:rsid w:val="00E74368"/>
    <w:rsid w:val="00E82453"/>
    <w:rsid w:val="00E91AC6"/>
    <w:rsid w:val="00EA1B00"/>
    <w:rsid w:val="00EB2052"/>
    <w:rsid w:val="00EC4284"/>
    <w:rsid w:val="00EC48ED"/>
    <w:rsid w:val="00EC4A05"/>
    <w:rsid w:val="00EE7149"/>
    <w:rsid w:val="00EF4F60"/>
    <w:rsid w:val="00F004AA"/>
    <w:rsid w:val="00F21B36"/>
    <w:rsid w:val="00F40664"/>
    <w:rsid w:val="00F42E9D"/>
    <w:rsid w:val="00F42F36"/>
    <w:rsid w:val="00F50329"/>
    <w:rsid w:val="00F7440C"/>
    <w:rsid w:val="00F82F27"/>
    <w:rsid w:val="00F92D19"/>
    <w:rsid w:val="00FA160F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2A0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495DF0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95DF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744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7440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7440C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744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7440C"/>
    <w:rPr>
      <w:rFonts w:ascii="FreeSans" w:hAnsi="FreeSans"/>
      <w:b/>
      <w:bCs/>
      <w:lang w:eastAsia="en-US"/>
    </w:rPr>
  </w:style>
  <w:style w:type="character" w:styleId="Hyperlink">
    <w:name w:val="Hyperlink"/>
    <w:basedOn w:val="Absatz-Standardschriftart"/>
    <w:uiPriority w:val="99"/>
    <w:unhideWhenUsed/>
    <w:rsid w:val="00495DF0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95D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lesen.bayern.de/leseverstehen/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0.wmf"/><Relationship Id="rId17" Type="http://schemas.openxmlformats.org/officeDocument/2006/relationships/hyperlink" Target="https://www.lesen.bayern.de/fileadmin/user_upload/Lesen/Methoden/digital/Digital-analytisches_Lesen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esen.bayern.de/leseverstehe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esen.bayern.de/fileadmin/user_upload/Lesen/Methoden/digital/Digital-analytisches_Lesen.pdf" TargetMode="Externa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346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Martina Pennekendorf</dc:creator>
  <cp:lastModifiedBy>Neugebauer, Christina</cp:lastModifiedBy>
  <cp:revision>5</cp:revision>
  <cp:lastPrinted>2020-04-24T08:07:00Z</cp:lastPrinted>
  <dcterms:created xsi:type="dcterms:W3CDTF">2020-03-30T06:45:00Z</dcterms:created>
  <dcterms:modified xsi:type="dcterms:W3CDTF">2021-01-15T11:06:00Z</dcterms:modified>
</cp:coreProperties>
</file>