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60ACA287" w:rsidR="006F13D7" w:rsidRPr="00B10725" w:rsidRDefault="007B482C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Lautleseverfahren: </w:t>
      </w:r>
      <w:r w:rsidR="00A65A80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Lesetandem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36E9FCB3" w:rsidR="006F13D7" w:rsidRPr="00C21733" w:rsidRDefault="00A65A80" w:rsidP="00AB55A9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>2.</w:t>
            </w:r>
            <w:r w:rsidR="000653BF" w:rsidRPr="00C21733">
              <w:rPr>
                <w:rFonts w:ascii="Arial" w:hAnsi="Arial" w:cs="Arial"/>
                <w:sz w:val="22"/>
              </w:rPr>
              <w:t xml:space="preserve"> </w:t>
            </w:r>
            <w:r w:rsidR="006E548A" w:rsidRPr="00C21733">
              <w:rPr>
                <w:rFonts w:ascii="Arial" w:hAnsi="Arial" w:cs="Arial"/>
                <w:sz w:val="22"/>
              </w:rPr>
              <w:t xml:space="preserve">– 8. </w:t>
            </w:r>
            <w:r w:rsidRPr="00C21733">
              <w:rPr>
                <w:rFonts w:ascii="Arial" w:hAnsi="Arial" w:cs="Arial"/>
                <w:sz w:val="22"/>
              </w:rPr>
              <w:t>Klasse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Fach/Fächer/fachüb.</w:t>
            </w:r>
          </w:p>
        </w:tc>
        <w:tc>
          <w:tcPr>
            <w:tcW w:w="6910" w:type="dxa"/>
          </w:tcPr>
          <w:p w14:paraId="4E44E108" w14:textId="77777777" w:rsidR="006F13D7" w:rsidRPr="00C21733" w:rsidRDefault="000653BF" w:rsidP="00AB55A9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Deutsch 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7BED2A37" w:rsidR="006F13D7" w:rsidRPr="006F13D7" w:rsidRDefault="007E74F6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einfache Texte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7777777" w:rsidR="0063322A" w:rsidRPr="006F13D7" w:rsidRDefault="0063322A" w:rsidP="00056580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875" w14:textId="18AC780E" w:rsidR="0063322A" w:rsidRPr="006F13D7" w:rsidRDefault="0063322A" w:rsidP="0005658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Lautes Lesen mit eine</w:t>
            </w:r>
            <w:r w:rsidR="002B29D8">
              <w:rPr>
                <w:rFonts w:ascii="Arial" w:hAnsi="Arial" w:cs="Arial"/>
                <w:sz w:val="22"/>
              </w:rPr>
              <w:t>r/eine</w:t>
            </w:r>
            <w:r>
              <w:rPr>
                <w:rFonts w:ascii="Arial" w:hAnsi="Arial" w:cs="Arial"/>
                <w:sz w:val="22"/>
              </w:rPr>
              <w:t>m Partner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zur Förderung der Leseflüssigkeit 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21357A64" w14:textId="7CCDCB52" w:rsidR="006F13D7" w:rsidRPr="00EB2052" w:rsidRDefault="0063322A" w:rsidP="00AB55A9">
            <w:pPr>
              <w:rPr>
                <w:rFonts w:ascii="Arial" w:hAnsi="Arial" w:cs="Arial"/>
                <w:sz w:val="22"/>
              </w:rPr>
            </w:pPr>
            <w:r w:rsidRPr="00EB2052">
              <w:rPr>
                <w:rFonts w:ascii="Arial" w:hAnsi="Arial" w:cs="Arial"/>
                <w:sz w:val="22"/>
              </w:rPr>
              <w:t xml:space="preserve">Mehr Informationen finden sich z. B. </w:t>
            </w:r>
            <w:r w:rsidR="001570B8" w:rsidRPr="00EB2052">
              <w:rPr>
                <w:rFonts w:ascii="Arial" w:hAnsi="Arial" w:cs="Arial"/>
                <w:sz w:val="22"/>
              </w:rPr>
              <w:t>in folgenden Quellen</w:t>
            </w:r>
            <w:r w:rsidRPr="00EB2052">
              <w:rPr>
                <w:rFonts w:ascii="Arial" w:hAnsi="Arial" w:cs="Arial"/>
                <w:sz w:val="22"/>
              </w:rPr>
              <w:t>:</w:t>
            </w:r>
          </w:p>
          <w:p w14:paraId="7DFDF369" w14:textId="6DE3946C" w:rsidR="0063322A" w:rsidRPr="00EB2052" w:rsidRDefault="0063322A" w:rsidP="0063322A">
            <w:pPr>
              <w:rPr>
                <w:rFonts w:ascii="Arial" w:hAnsi="Arial" w:cs="Arial"/>
                <w:sz w:val="22"/>
              </w:rPr>
            </w:pPr>
            <w:r w:rsidRPr="00EB2052">
              <w:rPr>
                <w:rFonts w:ascii="Arial" w:hAnsi="Arial" w:cs="Arial"/>
                <w:sz w:val="22"/>
              </w:rPr>
              <w:t>Rosebrock</w:t>
            </w:r>
            <w:r w:rsidR="001570B8" w:rsidRPr="00EB2052">
              <w:rPr>
                <w:rFonts w:ascii="Arial" w:hAnsi="Arial" w:cs="Arial"/>
                <w:sz w:val="22"/>
              </w:rPr>
              <w:t xml:space="preserve"> </w:t>
            </w:r>
            <w:r w:rsidR="00EB2052" w:rsidRPr="00EB2052">
              <w:rPr>
                <w:rFonts w:ascii="Arial" w:hAnsi="Arial" w:cs="Arial"/>
                <w:sz w:val="22"/>
              </w:rPr>
              <w:t>C., N</w:t>
            </w:r>
            <w:r w:rsidRPr="00EB2052">
              <w:rPr>
                <w:rFonts w:ascii="Arial" w:hAnsi="Arial" w:cs="Arial"/>
                <w:sz w:val="22"/>
              </w:rPr>
              <w:t>ix</w:t>
            </w:r>
            <w:r w:rsidR="00EB2052" w:rsidRPr="00EB2052">
              <w:rPr>
                <w:rFonts w:ascii="Arial" w:hAnsi="Arial" w:cs="Arial"/>
                <w:sz w:val="22"/>
              </w:rPr>
              <w:t xml:space="preserve"> D.,</w:t>
            </w:r>
            <w:r w:rsidR="001570B8" w:rsidRPr="00EB2052">
              <w:rPr>
                <w:rFonts w:ascii="Arial" w:hAnsi="Arial" w:cs="Arial"/>
                <w:sz w:val="22"/>
              </w:rPr>
              <w:t xml:space="preserve"> </w:t>
            </w:r>
            <w:r w:rsidRPr="00EB2052">
              <w:rPr>
                <w:rFonts w:ascii="Arial" w:hAnsi="Arial" w:cs="Arial"/>
                <w:sz w:val="22"/>
              </w:rPr>
              <w:t>Rieckmann</w:t>
            </w:r>
            <w:r w:rsidR="00EB2052" w:rsidRPr="00EB2052">
              <w:rPr>
                <w:rFonts w:ascii="Arial" w:hAnsi="Arial" w:cs="Arial"/>
                <w:sz w:val="22"/>
              </w:rPr>
              <w:t xml:space="preserve"> C., u.a.</w:t>
            </w:r>
            <w:r w:rsidRPr="00EB2052">
              <w:rPr>
                <w:rFonts w:ascii="Arial" w:hAnsi="Arial" w:cs="Arial"/>
                <w:sz w:val="22"/>
              </w:rPr>
              <w:t xml:space="preserve"> (2011)</w:t>
            </w:r>
            <w:r w:rsidR="00EB2052" w:rsidRPr="00EB2052">
              <w:rPr>
                <w:rFonts w:ascii="Arial" w:hAnsi="Arial" w:cs="Arial"/>
                <w:sz w:val="22"/>
              </w:rPr>
              <w:t>.</w:t>
            </w:r>
            <w:r w:rsidRPr="00EB2052">
              <w:rPr>
                <w:rFonts w:ascii="Arial" w:hAnsi="Arial" w:cs="Arial"/>
                <w:sz w:val="22"/>
              </w:rPr>
              <w:t xml:space="preserve"> Leseflüssigkeit fördern. Seelze: Friedrich.</w:t>
            </w:r>
          </w:p>
          <w:p w14:paraId="6A7A2D54" w14:textId="1A255C2E" w:rsidR="001570B8" w:rsidRPr="00EB2052" w:rsidRDefault="00EB2052" w:rsidP="00EB2052">
            <w:pPr>
              <w:rPr>
                <w:rFonts w:ascii="Arial" w:hAnsi="Arial" w:cs="Arial"/>
                <w:sz w:val="22"/>
              </w:rPr>
            </w:pPr>
            <w:r w:rsidRPr="00EB2052">
              <w:rPr>
                <w:rFonts w:ascii="Arial" w:hAnsi="Arial" w:cs="Arial"/>
                <w:sz w:val="22"/>
              </w:rPr>
              <w:t xml:space="preserve">Lenhard, W., </w:t>
            </w:r>
            <w:r w:rsidR="001570B8" w:rsidRPr="00EB2052">
              <w:rPr>
                <w:rFonts w:ascii="Arial" w:hAnsi="Arial" w:cs="Arial"/>
                <w:sz w:val="22"/>
              </w:rPr>
              <w:t>Lenhard, A. (2017). Berechnung des Lesbarkeits-index LIX nach Björnson. Bibergau: Psychometrica.</w:t>
            </w:r>
            <w:r w:rsidRPr="00EB2052">
              <w:rPr>
                <w:rFonts w:ascii="Arial" w:hAnsi="Arial" w:cs="Arial"/>
                <w:sz w:val="22"/>
              </w:rPr>
              <w:t xml:space="preserve"> Zugriff am 28.02.2018. Verfügbar unter http://www.psychometrica.de/lix.html.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20F543DF" w:rsidR="006F13D7" w:rsidRPr="006F13D7" w:rsidRDefault="000653BF" w:rsidP="007B48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Lesetext</w:t>
            </w:r>
            <w:r w:rsidR="0063322A">
              <w:rPr>
                <w:rFonts w:ascii="Arial" w:hAnsi="Arial" w:cs="Arial"/>
                <w:sz w:val="22"/>
              </w:rPr>
              <w:t>, Uhr</w:t>
            </w:r>
          </w:p>
        </w:tc>
      </w:tr>
    </w:tbl>
    <w:p w14:paraId="11D597F9" w14:textId="77777777" w:rsidR="00AB0F15" w:rsidRDefault="00AB0F15" w:rsidP="006F13D7">
      <w:pPr>
        <w:rPr>
          <w:rFonts w:ascii="Arial" w:hAnsi="Arial" w:cs="Arial"/>
          <w:sz w:val="22"/>
        </w:rPr>
      </w:pPr>
    </w:p>
    <w:p w14:paraId="3636590B" w14:textId="77777777" w:rsidR="007B482C" w:rsidRDefault="007B48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F13D7" w:rsidRPr="006F13D7" w14:paraId="3F1D9EC8" w14:textId="77777777" w:rsidTr="002B29D8">
        <w:trPr>
          <w:trHeight w:val="1029"/>
        </w:trPr>
        <w:tc>
          <w:tcPr>
            <w:tcW w:w="9210" w:type="dxa"/>
          </w:tcPr>
          <w:p w14:paraId="6B5FDBD7" w14:textId="64FC181F" w:rsidR="00224CB8" w:rsidRDefault="007B482C" w:rsidP="002B29D8">
            <w:pPr>
              <w:spacing w:after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lastRenderedPageBreak/>
              <w:t>Lautleseverfahren:</w:t>
            </w:r>
            <w:r w:rsidR="00AB55A9" w:rsidRPr="00AB55A9">
              <w:rPr>
                <w:rFonts w:ascii="Arial" w:hAnsi="Arial" w:cs="Arial"/>
                <w:b/>
                <w:sz w:val="34"/>
                <w:szCs w:val="34"/>
              </w:rPr>
              <w:t xml:space="preserve"> Lesetandem</w:t>
            </w:r>
          </w:p>
          <w:p w14:paraId="374076E2" w14:textId="1215AF8B" w:rsidR="007B482C" w:rsidRPr="006F13D7" w:rsidRDefault="007B482C" w:rsidP="002B29D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2B29D8">
              <w:rPr>
                <w:rFonts w:ascii="Arial" w:hAnsi="Arial" w:cs="Arial"/>
                <w:b/>
                <w:sz w:val="28"/>
                <w:szCs w:val="34"/>
              </w:rPr>
              <w:t xml:space="preserve">Methodenkarte – Lehrkraft </w:t>
            </w:r>
          </w:p>
        </w:tc>
      </w:tr>
      <w:tr w:rsidR="006F13D7" w:rsidRPr="006F13D7" w14:paraId="3C05E4B7" w14:textId="77777777" w:rsidTr="00AB55A9">
        <w:tc>
          <w:tcPr>
            <w:tcW w:w="9210" w:type="dxa"/>
          </w:tcPr>
          <w:p w14:paraId="5167C3EA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Basiswissen</w:t>
            </w:r>
          </w:p>
          <w:p w14:paraId="15C493DC" w14:textId="0A843ACB" w:rsidR="0063322A" w:rsidRDefault="00325407" w:rsidP="002B29D8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Leseflüssigkeit ist die Voraussetzung für das Verstehen eines Textes. Die Schüler</w:t>
            </w:r>
            <w:r w:rsidR="002B29D8">
              <w:rPr>
                <w:rFonts w:ascii="Arial" w:hAnsi="Arial" w:cs="Arial"/>
                <w:sz w:val="22"/>
              </w:rPr>
              <w:t>innen und Schüler</w:t>
            </w:r>
            <w:r>
              <w:rPr>
                <w:rFonts w:ascii="Arial" w:hAnsi="Arial" w:cs="Arial"/>
                <w:sz w:val="22"/>
              </w:rPr>
              <w:t xml:space="preserve">, die über eine </w:t>
            </w:r>
            <w:r w:rsidR="004C1689">
              <w:rPr>
                <w:rFonts w:ascii="Arial" w:hAnsi="Arial" w:cs="Arial"/>
                <w:sz w:val="22"/>
              </w:rPr>
              <w:t xml:space="preserve">gute </w:t>
            </w:r>
            <w:r>
              <w:rPr>
                <w:rFonts w:ascii="Arial" w:hAnsi="Arial" w:cs="Arial"/>
                <w:sz w:val="22"/>
              </w:rPr>
              <w:t xml:space="preserve">Leseflüssigkeit verfügen, können sich voll auf den Textinhalt konzentrieren. </w:t>
            </w:r>
            <w:r>
              <w:rPr>
                <w:rFonts w:ascii="Arial" w:hAnsi="Arial" w:cs="Arial"/>
                <w:sz w:val="22"/>
              </w:rPr>
              <w:br/>
              <w:t xml:space="preserve">Beim </w:t>
            </w:r>
            <w:r w:rsidRPr="004D033C">
              <w:rPr>
                <w:rFonts w:ascii="Arial" w:hAnsi="Arial" w:cs="Arial"/>
                <w:b/>
                <w:sz w:val="22"/>
              </w:rPr>
              <w:t>Lesetandem</w:t>
            </w:r>
            <w:r>
              <w:rPr>
                <w:rFonts w:ascii="Arial" w:hAnsi="Arial" w:cs="Arial"/>
                <w:sz w:val="22"/>
              </w:rPr>
              <w:t xml:space="preserve"> liest ein</w:t>
            </w:r>
            <w:r w:rsidR="002B29D8">
              <w:rPr>
                <w:rFonts w:ascii="Arial" w:hAnsi="Arial" w:cs="Arial"/>
                <w:sz w:val="22"/>
              </w:rPr>
              <w:t>/e</w:t>
            </w:r>
            <w:r>
              <w:rPr>
                <w:rFonts w:ascii="Arial" w:hAnsi="Arial" w:cs="Arial"/>
                <w:sz w:val="22"/>
              </w:rPr>
              <w:t xml:space="preserve"> schwache</w:t>
            </w:r>
            <w:r w:rsidR="002B29D8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r Leser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4D033C">
              <w:rPr>
                <w:rFonts w:ascii="Arial" w:hAnsi="Arial" w:cs="Arial"/>
                <w:b/>
                <w:sz w:val="22"/>
              </w:rPr>
              <w:t>Sportler</w:t>
            </w:r>
            <w:r w:rsidR="002B29D8">
              <w:rPr>
                <w:rFonts w:ascii="Arial" w:hAnsi="Arial" w:cs="Arial"/>
                <w:b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oder Tutand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>) eine</w:t>
            </w:r>
            <w:r w:rsidR="002B29D8">
              <w:rPr>
                <w:rFonts w:ascii="Arial" w:hAnsi="Arial" w:cs="Arial"/>
                <w:sz w:val="22"/>
              </w:rPr>
              <w:t>r/eine</w:t>
            </w:r>
            <w:r>
              <w:rPr>
                <w:rFonts w:ascii="Arial" w:hAnsi="Arial" w:cs="Arial"/>
                <w:sz w:val="22"/>
              </w:rPr>
              <w:t>m besseren Leser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4D033C">
              <w:rPr>
                <w:rFonts w:ascii="Arial" w:hAnsi="Arial" w:cs="Arial"/>
                <w:b/>
                <w:sz w:val="22"/>
              </w:rPr>
              <w:t>Trainer</w:t>
            </w:r>
            <w:r w:rsidR="002B29D8">
              <w:rPr>
                <w:rFonts w:ascii="Arial" w:hAnsi="Arial" w:cs="Arial"/>
                <w:b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oder Tutor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) einen passenden Lesetext mehrmals laut vor. Dabei korrigiert </w:t>
            </w:r>
            <w:r w:rsidR="002B29D8">
              <w:rPr>
                <w:rFonts w:ascii="Arial" w:hAnsi="Arial" w:cs="Arial"/>
                <w:sz w:val="22"/>
              </w:rPr>
              <w:t>die/</w:t>
            </w:r>
            <w:r>
              <w:rPr>
                <w:rFonts w:ascii="Arial" w:hAnsi="Arial" w:cs="Arial"/>
                <w:sz w:val="22"/>
              </w:rPr>
              <w:t>der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Lesefehler und steht für die Klärung unbekannter Wörter zur Verfügung. Zudem gibt er durch </w:t>
            </w:r>
            <w:r w:rsidR="002B29D8">
              <w:rPr>
                <w:rFonts w:ascii="Arial" w:hAnsi="Arial" w:cs="Arial"/>
                <w:sz w:val="22"/>
              </w:rPr>
              <w:t>ihr/</w:t>
            </w:r>
            <w:r>
              <w:rPr>
                <w:rFonts w:ascii="Arial" w:hAnsi="Arial" w:cs="Arial"/>
                <w:sz w:val="22"/>
              </w:rPr>
              <w:t>sein Lesevorbild Betonung und Satzgliederung vor.</w:t>
            </w:r>
          </w:p>
          <w:p w14:paraId="2996FE2F" w14:textId="7A401C4E" w:rsidR="00325407" w:rsidRDefault="00325407" w:rsidP="002B29D8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</w:t>
            </w:r>
            <w:r w:rsidR="0063322A">
              <w:rPr>
                <w:rFonts w:ascii="Arial" w:hAnsi="Arial" w:cs="Arial"/>
                <w:sz w:val="22"/>
              </w:rPr>
              <w:t>ch das wiederholte Lesen (4/5x</w:t>
            </w:r>
            <w:r>
              <w:rPr>
                <w:rFonts w:ascii="Arial" w:hAnsi="Arial" w:cs="Arial"/>
                <w:sz w:val="22"/>
              </w:rPr>
              <w:t xml:space="preserve">) desselben Textes prägt sich </w:t>
            </w:r>
            <w:r w:rsidR="002B29D8">
              <w:rPr>
                <w:rFonts w:ascii="Arial" w:hAnsi="Arial" w:cs="Arial"/>
                <w:sz w:val="22"/>
              </w:rPr>
              <w:t>die/</w:t>
            </w:r>
            <w:r>
              <w:rPr>
                <w:rFonts w:ascii="Arial" w:hAnsi="Arial" w:cs="Arial"/>
                <w:sz w:val="22"/>
              </w:rPr>
              <w:t>der Sportler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zum einen Wortbilder und spezifische Buchstabenkom</w:t>
            </w:r>
            <w:r w:rsidR="004C1689">
              <w:rPr>
                <w:rFonts w:ascii="Arial" w:hAnsi="Arial" w:cs="Arial"/>
                <w:sz w:val="22"/>
              </w:rPr>
              <w:t>binationen ein, was</w:t>
            </w:r>
            <w:r w:rsidR="002B29D8">
              <w:rPr>
                <w:rFonts w:ascii="Arial" w:hAnsi="Arial" w:cs="Arial"/>
                <w:sz w:val="22"/>
              </w:rPr>
              <w:t xml:space="preserve"> ihr/</w:t>
            </w:r>
            <w:r w:rsidR="004C1689">
              <w:rPr>
                <w:rFonts w:ascii="Arial" w:hAnsi="Arial" w:cs="Arial"/>
                <w:sz w:val="22"/>
              </w:rPr>
              <w:t xml:space="preserve">ihm ein schnelleres Dekodieren </w:t>
            </w:r>
            <w:r w:rsidR="00CD71F3">
              <w:rPr>
                <w:rFonts w:ascii="Arial" w:hAnsi="Arial" w:cs="Arial"/>
                <w:sz w:val="22"/>
              </w:rPr>
              <w:t>er</w:t>
            </w:r>
            <w:r w:rsidR="004C1689">
              <w:rPr>
                <w:rFonts w:ascii="Arial" w:hAnsi="Arial" w:cs="Arial"/>
                <w:sz w:val="22"/>
              </w:rPr>
              <w:t>möglich</w:t>
            </w:r>
            <w:r w:rsidR="00CD71F3">
              <w:rPr>
                <w:rFonts w:ascii="Arial" w:hAnsi="Arial" w:cs="Arial"/>
                <w:sz w:val="22"/>
              </w:rPr>
              <w:t xml:space="preserve">t </w:t>
            </w:r>
            <w:r w:rsidR="00AB0F15">
              <w:rPr>
                <w:rFonts w:ascii="Arial" w:hAnsi="Arial" w:cs="Arial"/>
                <w:sz w:val="22"/>
              </w:rPr>
              <w:t>und einen</w:t>
            </w:r>
            <w:r>
              <w:rPr>
                <w:rFonts w:ascii="Arial" w:hAnsi="Arial" w:cs="Arial"/>
                <w:sz w:val="22"/>
              </w:rPr>
              <w:t xml:space="preserve"> abrufbaren Sichtwortschatz aufbaut, zum an</w:t>
            </w:r>
            <w:r w:rsidR="00235019">
              <w:rPr>
                <w:rFonts w:ascii="Arial" w:hAnsi="Arial" w:cs="Arial"/>
                <w:sz w:val="22"/>
              </w:rPr>
              <w:t>deren wird durch das Lesemodell</w:t>
            </w:r>
            <w:r>
              <w:rPr>
                <w:rFonts w:ascii="Arial" w:hAnsi="Arial" w:cs="Arial"/>
                <w:sz w:val="22"/>
              </w:rPr>
              <w:t xml:space="preserve"> de</w:t>
            </w:r>
            <w:r w:rsidR="002B29D8">
              <w:rPr>
                <w:rFonts w:ascii="Arial" w:hAnsi="Arial" w:cs="Arial"/>
                <w:sz w:val="22"/>
              </w:rPr>
              <w:t>r/de</w:t>
            </w:r>
            <w:r>
              <w:rPr>
                <w:rFonts w:ascii="Arial" w:hAnsi="Arial" w:cs="Arial"/>
                <w:sz w:val="22"/>
              </w:rPr>
              <w:t xml:space="preserve">s </w:t>
            </w:r>
            <w:r w:rsidR="002B29D8">
              <w:rPr>
                <w:rFonts w:ascii="Arial" w:hAnsi="Arial" w:cs="Arial"/>
                <w:sz w:val="22"/>
              </w:rPr>
              <w:t>Trainerin/</w:t>
            </w:r>
            <w:r>
              <w:rPr>
                <w:rFonts w:ascii="Arial" w:hAnsi="Arial" w:cs="Arial"/>
                <w:sz w:val="22"/>
              </w:rPr>
              <w:t xml:space="preserve">Trainers die Leseflüssigkeit auf der Satzebene trainiert. </w:t>
            </w:r>
            <w:r w:rsidR="007E74F6">
              <w:rPr>
                <w:rFonts w:ascii="Arial" w:hAnsi="Arial" w:cs="Arial"/>
                <w:sz w:val="22"/>
              </w:rPr>
              <w:t>Durch den sportlichen Charakter erfahren die Schüler</w:t>
            </w:r>
            <w:r w:rsidR="002B29D8">
              <w:rPr>
                <w:rFonts w:ascii="Arial" w:hAnsi="Arial" w:cs="Arial"/>
                <w:sz w:val="22"/>
              </w:rPr>
              <w:t>innen und Schüler</w:t>
            </w:r>
            <w:r w:rsidR="007E74F6">
              <w:rPr>
                <w:rFonts w:ascii="Arial" w:hAnsi="Arial" w:cs="Arial"/>
                <w:sz w:val="22"/>
              </w:rPr>
              <w:t xml:space="preserve"> zusätzliche Motivation.</w:t>
            </w:r>
          </w:p>
          <w:p w14:paraId="2868FC12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Zeitlicher Rahmen</w:t>
            </w:r>
          </w:p>
          <w:p w14:paraId="2B5C84FE" w14:textId="6FD3A568" w:rsidR="00325407" w:rsidRDefault="00325407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 wird in ein</w:t>
            </w:r>
            <w:r w:rsidR="0063322A">
              <w:rPr>
                <w:rFonts w:ascii="Arial" w:hAnsi="Arial" w:cs="Arial"/>
                <w:sz w:val="22"/>
              </w:rPr>
              <w:t>em festgelegten Zeitraum von drei bis fünf</w:t>
            </w:r>
            <w:r>
              <w:rPr>
                <w:rFonts w:ascii="Arial" w:hAnsi="Arial" w:cs="Arial"/>
                <w:sz w:val="22"/>
              </w:rPr>
              <w:t xml:space="preserve"> Wochen dreimal die Woche für </w:t>
            </w:r>
            <w:r>
              <w:rPr>
                <w:rFonts w:ascii="Arial" w:hAnsi="Arial" w:cs="Arial"/>
                <w:sz w:val="22"/>
              </w:rPr>
              <w:br/>
            </w:r>
            <w:r w:rsidR="0063322A">
              <w:rPr>
                <w:rFonts w:ascii="Arial" w:hAnsi="Arial" w:cs="Arial"/>
                <w:sz w:val="22"/>
              </w:rPr>
              <w:t xml:space="preserve">15 – </w:t>
            </w:r>
            <w:r>
              <w:rPr>
                <w:rFonts w:ascii="Arial" w:hAnsi="Arial" w:cs="Arial"/>
                <w:sz w:val="22"/>
              </w:rPr>
              <w:t xml:space="preserve">20 Minuten trainiert. </w:t>
            </w:r>
            <w:r w:rsidR="0063322A">
              <w:rPr>
                <w:rFonts w:ascii="Arial" w:hAnsi="Arial" w:cs="Arial"/>
                <w:sz w:val="22"/>
              </w:rPr>
              <w:t xml:space="preserve">Im Schuljahr können drei bis vier </w:t>
            </w:r>
            <w:r w:rsidR="002E12A0">
              <w:rPr>
                <w:rFonts w:ascii="Arial" w:hAnsi="Arial" w:cs="Arial"/>
                <w:sz w:val="22"/>
              </w:rPr>
              <w:t xml:space="preserve">Blöcke festgesetzt werden. </w:t>
            </w:r>
          </w:p>
          <w:p w14:paraId="257D7980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Vorbereitung</w:t>
            </w:r>
            <w:r w:rsidR="004C1689">
              <w:rPr>
                <w:rFonts w:ascii="Arial" w:hAnsi="Arial" w:cs="Arial"/>
                <w:b/>
                <w:sz w:val="22"/>
                <w:u w:val="single"/>
              </w:rPr>
              <w:t xml:space="preserve"> und Durchführung</w:t>
            </w:r>
          </w:p>
          <w:p w14:paraId="20A2260C" w14:textId="0EA613B6" w:rsidR="00325407" w:rsidRDefault="007E74F6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Zuerst wird b</w:t>
            </w:r>
            <w:r w:rsidR="00712BAD">
              <w:rPr>
                <w:rFonts w:ascii="Arial" w:hAnsi="Arial" w:cs="Arial"/>
                <w:sz w:val="22"/>
              </w:rPr>
              <w:t>ei jede</w:t>
            </w:r>
            <w:r w:rsidR="002B29D8">
              <w:rPr>
                <w:rFonts w:ascii="Arial" w:hAnsi="Arial" w:cs="Arial"/>
                <w:sz w:val="22"/>
              </w:rPr>
              <w:t>r/jede</w:t>
            </w:r>
            <w:r w:rsidR="00712BAD">
              <w:rPr>
                <w:rFonts w:ascii="Arial" w:hAnsi="Arial" w:cs="Arial"/>
                <w:sz w:val="22"/>
              </w:rPr>
              <w:t>m</w:t>
            </w:r>
            <w:r w:rsidR="00325407">
              <w:rPr>
                <w:rFonts w:ascii="Arial" w:hAnsi="Arial" w:cs="Arial"/>
                <w:sz w:val="22"/>
              </w:rPr>
              <w:t xml:space="preserve"> Schüler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 w:rsidR="00325407">
              <w:rPr>
                <w:rFonts w:ascii="Arial" w:hAnsi="Arial" w:cs="Arial"/>
                <w:sz w:val="22"/>
              </w:rPr>
              <w:t xml:space="preserve"> </w:t>
            </w:r>
            <w:r w:rsidR="00712BAD">
              <w:rPr>
                <w:rFonts w:ascii="Arial" w:hAnsi="Arial" w:cs="Arial"/>
                <w:sz w:val="22"/>
              </w:rPr>
              <w:t>die Lesegeschwindigkeit (gelesene Wörter pro Minute</w:t>
            </w:r>
            <w:r w:rsidR="00A93277">
              <w:rPr>
                <w:rFonts w:ascii="Arial" w:hAnsi="Arial" w:cs="Arial"/>
                <w:sz w:val="22"/>
              </w:rPr>
              <w:t xml:space="preserve"> = WpM</w:t>
            </w:r>
            <w:r>
              <w:rPr>
                <w:rFonts w:ascii="Arial" w:hAnsi="Arial" w:cs="Arial"/>
                <w:sz w:val="22"/>
              </w:rPr>
              <w:t>) bestimmt</w:t>
            </w:r>
            <w:r w:rsidR="00712BAD">
              <w:rPr>
                <w:rFonts w:ascii="Arial" w:hAnsi="Arial" w:cs="Arial"/>
                <w:sz w:val="22"/>
              </w:rPr>
              <w:t>. Dies ka</w:t>
            </w:r>
            <w:r w:rsidR="002B29D8">
              <w:rPr>
                <w:rFonts w:ascii="Arial" w:hAnsi="Arial" w:cs="Arial"/>
                <w:sz w:val="22"/>
              </w:rPr>
              <w:t>nn durch das Lesen mit jeder/jedem E</w:t>
            </w:r>
            <w:r w:rsidR="00712BAD">
              <w:rPr>
                <w:rFonts w:ascii="Arial" w:hAnsi="Arial" w:cs="Arial"/>
                <w:sz w:val="22"/>
              </w:rPr>
              <w:t>inzelnen</w:t>
            </w:r>
            <w:r w:rsidR="002B29D8">
              <w:rPr>
                <w:rFonts w:ascii="Arial" w:hAnsi="Arial" w:cs="Arial"/>
                <w:sz w:val="22"/>
              </w:rPr>
              <w:t xml:space="preserve"> geschehen oder die Kinder</w:t>
            </w:r>
            <w:r w:rsidR="00712BAD">
              <w:rPr>
                <w:rFonts w:ascii="Arial" w:hAnsi="Arial" w:cs="Arial"/>
                <w:sz w:val="22"/>
              </w:rPr>
              <w:t xml:space="preserve"> lesen eine Minute auf Zeit und</w:t>
            </w:r>
            <w:r w:rsidR="004C1689">
              <w:rPr>
                <w:rFonts w:ascii="Arial" w:hAnsi="Arial" w:cs="Arial"/>
                <w:sz w:val="22"/>
              </w:rPr>
              <w:t xml:space="preserve"> setzen beim Zeitsignal im</w:t>
            </w:r>
            <w:r w:rsidR="00712BAD">
              <w:rPr>
                <w:rFonts w:ascii="Arial" w:hAnsi="Arial" w:cs="Arial"/>
                <w:sz w:val="22"/>
              </w:rPr>
              <w:t xml:space="preserve"> Lesetext einen Strich nach dem Wort im Text, das sie zuletzt gelesen haben. </w:t>
            </w:r>
            <w:r w:rsidR="009A0980">
              <w:rPr>
                <w:rFonts w:ascii="Arial" w:hAnsi="Arial" w:cs="Arial"/>
                <w:sz w:val="22"/>
              </w:rPr>
              <w:t>Nun bildet die Lehrkraft zwei Gruppen: Gruppe 1 m</w:t>
            </w:r>
            <w:r w:rsidR="002B29D8">
              <w:rPr>
                <w:rFonts w:ascii="Arial" w:hAnsi="Arial" w:cs="Arial"/>
                <w:sz w:val="22"/>
              </w:rPr>
              <w:t>it den schnell Leseenden=</w:t>
            </w:r>
            <w:r w:rsidR="00AB0F15">
              <w:rPr>
                <w:rFonts w:ascii="Arial" w:hAnsi="Arial" w:cs="Arial"/>
                <w:sz w:val="22"/>
              </w:rPr>
              <w:t>Trainer</w:t>
            </w:r>
            <w:r w:rsidR="002B29D8">
              <w:rPr>
                <w:rFonts w:ascii="Arial" w:hAnsi="Arial" w:cs="Arial"/>
                <w:sz w:val="22"/>
              </w:rPr>
              <w:t>/innen, Gruppe 2 mit den langsamer Lesenden=</w:t>
            </w:r>
            <w:r w:rsidR="00AB0F15">
              <w:rPr>
                <w:rFonts w:ascii="Arial" w:hAnsi="Arial" w:cs="Arial"/>
                <w:sz w:val="22"/>
              </w:rPr>
              <w:t>Sportler</w:t>
            </w:r>
            <w:r w:rsidR="002B29D8">
              <w:rPr>
                <w:rFonts w:ascii="Arial" w:hAnsi="Arial" w:cs="Arial"/>
                <w:sz w:val="22"/>
              </w:rPr>
              <w:t xml:space="preserve">/innen. Das erste Kind </w:t>
            </w:r>
            <w:r w:rsidR="00D80891">
              <w:rPr>
                <w:rFonts w:ascii="Arial" w:hAnsi="Arial" w:cs="Arial"/>
                <w:sz w:val="22"/>
              </w:rPr>
              <w:t xml:space="preserve">aus Gruppe 1 </w:t>
            </w:r>
            <w:r w:rsidR="009A0980">
              <w:rPr>
                <w:rFonts w:ascii="Arial" w:hAnsi="Arial" w:cs="Arial"/>
                <w:sz w:val="22"/>
              </w:rPr>
              <w:t xml:space="preserve">trainiert </w:t>
            </w:r>
            <w:r w:rsidR="00D80891">
              <w:rPr>
                <w:rFonts w:ascii="Arial" w:hAnsi="Arial" w:cs="Arial"/>
                <w:sz w:val="22"/>
              </w:rPr>
              <w:t xml:space="preserve">dann </w:t>
            </w:r>
            <w:r w:rsidR="002B29D8">
              <w:rPr>
                <w:rFonts w:ascii="Arial" w:hAnsi="Arial" w:cs="Arial"/>
                <w:sz w:val="22"/>
              </w:rPr>
              <w:t xml:space="preserve">das erste Kind </w:t>
            </w:r>
            <w:r>
              <w:rPr>
                <w:rFonts w:ascii="Arial" w:hAnsi="Arial" w:cs="Arial"/>
                <w:sz w:val="22"/>
              </w:rPr>
              <w:t>aus Gruppe 2 usw. Durchschnittliche Lesegeschwindigkeit 2.</w:t>
            </w:r>
            <w:r w:rsidR="0063322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Kl.: 80 WpM, 8.</w:t>
            </w:r>
            <w:r w:rsidR="0063322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Kl.: 180 WpM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134"/>
              <w:gridCol w:w="1317"/>
              <w:gridCol w:w="1134"/>
            </w:tblGrid>
            <w:tr w:rsidR="00017AAA" w14:paraId="4BB8AA20" w14:textId="77777777" w:rsidTr="004C1689">
              <w:trPr>
                <w:cantSplit/>
              </w:trPr>
              <w:tc>
                <w:tcPr>
                  <w:tcW w:w="1134" w:type="dxa"/>
                  <w:shd w:val="clear" w:color="auto" w:fill="E6E6E6"/>
                </w:tcPr>
                <w:p w14:paraId="5302CE22" w14:textId="59439E56" w:rsidR="00017AAA" w:rsidRPr="00A93277" w:rsidRDefault="00A93277" w:rsidP="0063322A">
                  <w:pPr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 w:rsidRPr="00A93277">
                    <w:rPr>
                      <w:rFonts w:ascii="Arial" w:hAnsi="Arial" w:cs="Arial"/>
                      <w:b/>
                      <w:sz w:val="22"/>
                    </w:rPr>
                    <w:t>Trainer</w:t>
                  </w:r>
                  <w:r w:rsidR="002B29D8">
                    <w:rPr>
                      <w:rFonts w:ascii="Arial" w:hAnsi="Arial" w:cs="Arial"/>
                      <w:b/>
                      <w:sz w:val="22"/>
                    </w:rPr>
                    <w:t>/in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2DAAC74B" w14:textId="269F5B2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WpM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0BAC5307" w14:textId="121E287B" w:rsidR="00017AAA" w:rsidRPr="00A93277" w:rsidRDefault="00A93277" w:rsidP="0063322A">
                  <w:pPr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 w:rsidRPr="00A93277">
                    <w:rPr>
                      <w:rFonts w:ascii="Arial" w:hAnsi="Arial" w:cs="Arial"/>
                      <w:b/>
                      <w:sz w:val="22"/>
                    </w:rPr>
                    <w:t>Sportler</w:t>
                  </w:r>
                  <w:r w:rsidR="002B29D8">
                    <w:rPr>
                      <w:rFonts w:ascii="Arial" w:hAnsi="Arial" w:cs="Arial"/>
                      <w:b/>
                      <w:sz w:val="22"/>
                    </w:rPr>
                    <w:t>/in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6CF9F1A8" w14:textId="2474CFE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WpM</w:t>
                  </w:r>
                </w:p>
              </w:tc>
            </w:tr>
            <w:tr w:rsidR="00017AAA" w14:paraId="230A3DAB" w14:textId="77777777" w:rsidTr="004C1689">
              <w:trPr>
                <w:cantSplit/>
                <w:trHeight w:val="417"/>
              </w:trPr>
              <w:tc>
                <w:tcPr>
                  <w:tcW w:w="1134" w:type="dxa"/>
                </w:tcPr>
                <w:p w14:paraId="06635D47" w14:textId="71F4CE40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Sebastian </w:t>
                  </w:r>
                </w:p>
              </w:tc>
              <w:tc>
                <w:tcPr>
                  <w:tcW w:w="1134" w:type="dxa"/>
                </w:tcPr>
                <w:p w14:paraId="2CFE237E" w14:textId="5799509B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135</w:t>
                  </w:r>
                </w:p>
              </w:tc>
              <w:tc>
                <w:tcPr>
                  <w:tcW w:w="1134" w:type="dxa"/>
                </w:tcPr>
                <w:p w14:paraId="2CA4632E" w14:textId="2FB61EC1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Julia </w:t>
                  </w:r>
                </w:p>
              </w:tc>
              <w:tc>
                <w:tcPr>
                  <w:tcW w:w="1134" w:type="dxa"/>
                </w:tcPr>
                <w:p w14:paraId="397D9D59" w14:textId="78C6A0C9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98</w:t>
                  </w:r>
                </w:p>
              </w:tc>
            </w:tr>
            <w:tr w:rsidR="00017AAA" w14:paraId="4FAEE133" w14:textId="77777777" w:rsidTr="002B29D8">
              <w:trPr>
                <w:cantSplit/>
                <w:trHeight w:val="331"/>
              </w:trPr>
              <w:tc>
                <w:tcPr>
                  <w:tcW w:w="1134" w:type="dxa"/>
                </w:tcPr>
                <w:p w14:paraId="5AEC96E5" w14:textId="77133494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Antonia </w:t>
                  </w:r>
                </w:p>
              </w:tc>
              <w:tc>
                <w:tcPr>
                  <w:tcW w:w="1134" w:type="dxa"/>
                </w:tcPr>
                <w:p w14:paraId="4165BDDC" w14:textId="36D511D2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128</w:t>
                  </w:r>
                </w:p>
              </w:tc>
              <w:tc>
                <w:tcPr>
                  <w:tcW w:w="1134" w:type="dxa"/>
                </w:tcPr>
                <w:p w14:paraId="7731859F" w14:textId="2719691A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Nico </w:t>
                  </w:r>
                </w:p>
              </w:tc>
              <w:tc>
                <w:tcPr>
                  <w:tcW w:w="1134" w:type="dxa"/>
                </w:tcPr>
                <w:p w14:paraId="41E029C2" w14:textId="14E1CCAF" w:rsidR="00017AAA" w:rsidRDefault="00A93277" w:rsidP="0063322A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95</w:t>
                  </w:r>
                </w:p>
              </w:tc>
            </w:tr>
          </w:tbl>
          <w:p w14:paraId="77DD58CE" w14:textId="52462957" w:rsidR="004C1689" w:rsidRDefault="008470F1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Sind die Teams gebildet, bekommt jedes davon </w:t>
            </w:r>
            <w:r w:rsidRPr="00235019">
              <w:rPr>
                <w:rFonts w:ascii="Arial" w:hAnsi="Arial" w:cs="Arial"/>
                <w:i/>
                <w:sz w:val="22"/>
              </w:rPr>
              <w:t>einen</w:t>
            </w:r>
            <w:r>
              <w:rPr>
                <w:rFonts w:ascii="Arial" w:hAnsi="Arial" w:cs="Arial"/>
                <w:sz w:val="22"/>
              </w:rPr>
              <w:t xml:space="preserve"> Lesetext und beide </w:t>
            </w:r>
            <w:r w:rsidR="002B29D8">
              <w:rPr>
                <w:rFonts w:ascii="Arial" w:hAnsi="Arial" w:cs="Arial"/>
                <w:sz w:val="22"/>
              </w:rPr>
              <w:t>Kinder</w:t>
            </w:r>
            <w:r>
              <w:rPr>
                <w:rFonts w:ascii="Arial" w:hAnsi="Arial" w:cs="Arial"/>
                <w:sz w:val="22"/>
              </w:rPr>
              <w:t xml:space="preserve"> lesen diesen halblaut vor. Dabei passt sich d</w:t>
            </w:r>
            <w:r w:rsidR="002B29D8">
              <w:rPr>
                <w:rFonts w:ascii="Arial" w:hAnsi="Arial" w:cs="Arial"/>
                <w:sz w:val="22"/>
              </w:rPr>
              <w:t>ie/d</w:t>
            </w:r>
            <w:r>
              <w:rPr>
                <w:rFonts w:ascii="Arial" w:hAnsi="Arial" w:cs="Arial"/>
                <w:sz w:val="22"/>
              </w:rPr>
              <w:t>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der Lesegeschwindigkeit </w:t>
            </w:r>
            <w:r w:rsidR="002B29D8">
              <w:rPr>
                <w:rFonts w:ascii="Arial" w:hAnsi="Arial" w:cs="Arial"/>
                <w:sz w:val="22"/>
              </w:rPr>
              <w:t>der/</w:t>
            </w:r>
            <w:r>
              <w:rPr>
                <w:rFonts w:ascii="Arial" w:hAnsi="Arial" w:cs="Arial"/>
                <w:sz w:val="22"/>
              </w:rPr>
              <w:t>des Sportler</w:t>
            </w:r>
            <w:r w:rsidR="002B29D8">
              <w:rPr>
                <w:rFonts w:ascii="Arial" w:hAnsi="Arial" w:cs="Arial"/>
                <w:sz w:val="22"/>
              </w:rPr>
              <w:t>in/Sportler</w:t>
            </w:r>
            <w:r>
              <w:rPr>
                <w:rFonts w:ascii="Arial" w:hAnsi="Arial" w:cs="Arial"/>
                <w:sz w:val="22"/>
              </w:rPr>
              <w:t>s an. D</w:t>
            </w:r>
            <w:r w:rsidR="002B29D8">
              <w:rPr>
                <w:rFonts w:ascii="Arial" w:hAnsi="Arial" w:cs="Arial"/>
                <w:sz w:val="22"/>
              </w:rPr>
              <w:t>ie/d</w:t>
            </w:r>
            <w:r>
              <w:rPr>
                <w:rFonts w:ascii="Arial" w:hAnsi="Arial" w:cs="Arial"/>
                <w:sz w:val="22"/>
              </w:rPr>
              <w:t>er Trainer</w:t>
            </w:r>
            <w:r w:rsidR="002B29D8">
              <w:rPr>
                <w:rFonts w:ascii="Arial" w:hAnsi="Arial" w:cs="Arial"/>
                <w:sz w:val="22"/>
              </w:rPr>
              <w:t>/in</w:t>
            </w:r>
            <w:r>
              <w:rPr>
                <w:rFonts w:ascii="Arial" w:hAnsi="Arial" w:cs="Arial"/>
                <w:sz w:val="22"/>
              </w:rPr>
              <w:t xml:space="preserve"> führt dabei den Zeigefinger </w:t>
            </w:r>
            <w:r w:rsidR="004658CC">
              <w:rPr>
                <w:rFonts w:ascii="Arial" w:hAnsi="Arial" w:cs="Arial"/>
                <w:sz w:val="22"/>
              </w:rPr>
              <w:t>am Text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B000F">
              <w:rPr>
                <w:rFonts w:ascii="Arial" w:hAnsi="Arial" w:cs="Arial"/>
                <w:sz w:val="22"/>
              </w:rPr>
              <w:t>mit</w:t>
            </w:r>
            <w:r w:rsidR="00C21733">
              <w:rPr>
                <w:rFonts w:ascii="Arial" w:hAnsi="Arial" w:cs="Arial"/>
                <w:sz w:val="22"/>
              </w:rPr>
              <w:t>.</w:t>
            </w:r>
            <w:r w:rsidR="002B29D8">
              <w:rPr>
                <w:rFonts w:ascii="Arial" w:hAnsi="Arial" w:cs="Arial"/>
                <w:sz w:val="22"/>
              </w:rPr>
              <w:t xml:space="preserve"> Sie/e</w:t>
            </w:r>
            <w:r w:rsidR="00BB000F">
              <w:rPr>
                <w:rFonts w:ascii="Arial" w:hAnsi="Arial" w:cs="Arial"/>
                <w:sz w:val="22"/>
              </w:rPr>
              <w:t>r verbessert Lesefehler</w:t>
            </w:r>
            <w:r w:rsidR="00C21733">
              <w:rPr>
                <w:rFonts w:ascii="Arial" w:hAnsi="Arial" w:cs="Arial"/>
                <w:sz w:val="22"/>
              </w:rPr>
              <w:t xml:space="preserve">, lobt Gelungenes und </w:t>
            </w:r>
            <w:r w:rsidR="00BB000F">
              <w:rPr>
                <w:rFonts w:ascii="Arial" w:hAnsi="Arial" w:cs="Arial"/>
                <w:sz w:val="22"/>
              </w:rPr>
              <w:t xml:space="preserve">gibt dem Sportler Tipps. </w:t>
            </w:r>
            <w:r w:rsidR="00736670">
              <w:rPr>
                <w:rFonts w:ascii="Arial" w:hAnsi="Arial" w:cs="Arial"/>
                <w:sz w:val="22"/>
              </w:rPr>
              <w:t>Ab dem zweiten Durchgang kann der S</w:t>
            </w:r>
            <w:r w:rsidR="004C1689">
              <w:rPr>
                <w:rFonts w:ascii="Arial" w:hAnsi="Arial" w:cs="Arial"/>
                <w:sz w:val="22"/>
              </w:rPr>
              <w:t>portler das Zeichen zum Allein</w:t>
            </w:r>
            <w:r w:rsidR="004658CC">
              <w:rPr>
                <w:rFonts w:ascii="Arial" w:hAnsi="Arial" w:cs="Arial"/>
                <w:sz w:val="22"/>
              </w:rPr>
              <w:t>e</w:t>
            </w:r>
            <w:r w:rsidR="004C1689">
              <w:rPr>
                <w:rFonts w:ascii="Arial" w:hAnsi="Arial" w:cs="Arial"/>
                <w:sz w:val="22"/>
              </w:rPr>
              <w:t>-L</w:t>
            </w:r>
            <w:r w:rsidR="00736670">
              <w:rPr>
                <w:rFonts w:ascii="Arial" w:hAnsi="Arial" w:cs="Arial"/>
                <w:sz w:val="22"/>
              </w:rPr>
              <w:t xml:space="preserve">esen geben, dann werden nur noch die Fehler verbessert. </w:t>
            </w:r>
          </w:p>
          <w:p w14:paraId="017D1DF7" w14:textId="77777777" w:rsidR="0063322A" w:rsidRDefault="004C1689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C1689">
              <w:rPr>
                <w:rFonts w:ascii="Arial" w:hAnsi="Arial" w:cs="Arial"/>
                <w:b/>
                <w:sz w:val="22"/>
                <w:u w:val="single"/>
              </w:rPr>
              <w:t>Textauswahl</w:t>
            </w:r>
          </w:p>
          <w:p w14:paraId="2958501B" w14:textId="6981520C" w:rsidR="006F13D7" w:rsidRPr="006F13D7" w:rsidRDefault="006A4D18" w:rsidP="0063322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</w:t>
            </w:r>
            <w:r w:rsidR="00736670">
              <w:rPr>
                <w:rFonts w:ascii="Arial" w:hAnsi="Arial" w:cs="Arial"/>
                <w:sz w:val="22"/>
              </w:rPr>
              <w:t xml:space="preserve"> empfehlen sich einfache</w:t>
            </w:r>
            <w:r w:rsidR="00E13CC9">
              <w:rPr>
                <w:rFonts w:ascii="Arial" w:hAnsi="Arial" w:cs="Arial"/>
                <w:sz w:val="22"/>
              </w:rPr>
              <w:t>, strukturierte</w:t>
            </w:r>
            <w:r w:rsidR="00736670">
              <w:rPr>
                <w:rFonts w:ascii="Arial" w:hAnsi="Arial" w:cs="Arial"/>
                <w:sz w:val="22"/>
              </w:rPr>
              <w:t xml:space="preserve"> Texte, die kurze Sätze und </w:t>
            </w:r>
            <w:r w:rsidR="004C1689">
              <w:rPr>
                <w:rFonts w:ascii="Arial" w:hAnsi="Arial" w:cs="Arial"/>
                <w:sz w:val="22"/>
              </w:rPr>
              <w:t>nur einige</w:t>
            </w:r>
            <w:r w:rsidR="00736670">
              <w:rPr>
                <w:rFonts w:ascii="Arial" w:hAnsi="Arial" w:cs="Arial"/>
                <w:sz w:val="22"/>
              </w:rPr>
              <w:t xml:space="preserve"> längere </w:t>
            </w:r>
            <w:r w:rsidR="00736670">
              <w:rPr>
                <w:rFonts w:ascii="Arial" w:hAnsi="Arial" w:cs="Arial"/>
                <w:sz w:val="22"/>
              </w:rPr>
              <w:lastRenderedPageBreak/>
              <w:t xml:space="preserve">Wörter aufweisen. Bei der Ermittlung der Textverständlichkeit kann ein Lix-Rechner </w:t>
            </w:r>
            <w:r>
              <w:rPr>
                <w:rFonts w:ascii="Arial" w:hAnsi="Arial" w:cs="Arial"/>
                <w:sz w:val="22"/>
              </w:rPr>
              <w:t>helfen</w:t>
            </w:r>
            <w:r w:rsidR="00736670">
              <w:rPr>
                <w:rFonts w:ascii="Arial" w:hAnsi="Arial" w:cs="Arial"/>
                <w:sz w:val="22"/>
              </w:rPr>
              <w:t xml:space="preserve">. </w:t>
            </w:r>
          </w:p>
        </w:tc>
      </w:tr>
    </w:tbl>
    <w:p w14:paraId="105F4326" w14:textId="77777777" w:rsidR="006F13D7" w:rsidRDefault="006F13D7" w:rsidP="002B29D8">
      <w:pPr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0E2C" w14:textId="77777777" w:rsidR="00F40664" w:rsidRDefault="00F40664" w:rsidP="00DE7E3D">
      <w:pPr>
        <w:spacing w:after="0" w:line="240" w:lineRule="auto"/>
      </w:pPr>
      <w:r>
        <w:separator/>
      </w:r>
    </w:p>
  </w:endnote>
  <w:endnote w:type="continuationSeparator" w:id="0">
    <w:p w14:paraId="5B567932" w14:textId="77777777" w:rsidR="00F40664" w:rsidRDefault="00F40664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639D1">
      <w:rPr>
        <w:noProof/>
      </w:rPr>
      <w:t>1</w:t>
    </w:r>
    <w:r>
      <w:fldChar w:fldCharType="end"/>
    </w:r>
    <w:r>
      <w:t xml:space="preserve"> von </w:t>
    </w:r>
    <w:r w:rsidR="00F40664">
      <w:fldChar w:fldCharType="begin"/>
    </w:r>
    <w:r w:rsidR="00F40664">
      <w:instrText xml:space="preserve"> NUMPAGES   \* MERGEFORMAT </w:instrText>
    </w:r>
    <w:r w:rsidR="00F40664">
      <w:fldChar w:fldCharType="separate"/>
    </w:r>
    <w:r w:rsidR="007639D1">
      <w:rPr>
        <w:noProof/>
      </w:rPr>
      <w:t>3</w:t>
    </w:r>
    <w:r w:rsidR="00F406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B1EE" w14:textId="77777777" w:rsidR="00F40664" w:rsidRDefault="00F40664" w:rsidP="00DE7E3D">
      <w:pPr>
        <w:spacing w:after="0" w:line="240" w:lineRule="auto"/>
      </w:pPr>
      <w:r>
        <w:separator/>
      </w:r>
    </w:p>
  </w:footnote>
  <w:footnote w:type="continuationSeparator" w:id="0">
    <w:p w14:paraId="14872DD3" w14:textId="77777777" w:rsidR="00F40664" w:rsidRDefault="00F40664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77777777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6B28"/>
    <w:rsid w:val="0003512A"/>
    <w:rsid w:val="000653BF"/>
    <w:rsid w:val="000C7314"/>
    <w:rsid w:val="001122DD"/>
    <w:rsid w:val="001406D6"/>
    <w:rsid w:val="00141EC8"/>
    <w:rsid w:val="001570B8"/>
    <w:rsid w:val="00170559"/>
    <w:rsid w:val="00175D4F"/>
    <w:rsid w:val="001815A2"/>
    <w:rsid w:val="001B57C8"/>
    <w:rsid w:val="00212991"/>
    <w:rsid w:val="00215863"/>
    <w:rsid w:val="00224CB8"/>
    <w:rsid w:val="002272C9"/>
    <w:rsid w:val="00235019"/>
    <w:rsid w:val="00246D32"/>
    <w:rsid w:val="00253455"/>
    <w:rsid w:val="00267701"/>
    <w:rsid w:val="00272CDB"/>
    <w:rsid w:val="00286BA3"/>
    <w:rsid w:val="002B29D8"/>
    <w:rsid w:val="002B35C3"/>
    <w:rsid w:val="002E12A0"/>
    <w:rsid w:val="00325407"/>
    <w:rsid w:val="0034071A"/>
    <w:rsid w:val="00343CB6"/>
    <w:rsid w:val="0038049A"/>
    <w:rsid w:val="00383C65"/>
    <w:rsid w:val="00384637"/>
    <w:rsid w:val="003A3139"/>
    <w:rsid w:val="003C24A7"/>
    <w:rsid w:val="003D0E09"/>
    <w:rsid w:val="003F3607"/>
    <w:rsid w:val="00412062"/>
    <w:rsid w:val="004658CC"/>
    <w:rsid w:val="0048606B"/>
    <w:rsid w:val="00494EDE"/>
    <w:rsid w:val="004C1689"/>
    <w:rsid w:val="004C2B34"/>
    <w:rsid w:val="004F11A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3322A"/>
    <w:rsid w:val="00642C33"/>
    <w:rsid w:val="00657B7F"/>
    <w:rsid w:val="006A4D18"/>
    <w:rsid w:val="006C3C68"/>
    <w:rsid w:val="006E548A"/>
    <w:rsid w:val="006F13D7"/>
    <w:rsid w:val="00712BAD"/>
    <w:rsid w:val="00736670"/>
    <w:rsid w:val="007639D1"/>
    <w:rsid w:val="007745F7"/>
    <w:rsid w:val="007B2ECF"/>
    <w:rsid w:val="007B482C"/>
    <w:rsid w:val="007D0304"/>
    <w:rsid w:val="007E05A6"/>
    <w:rsid w:val="007E74F6"/>
    <w:rsid w:val="0082045D"/>
    <w:rsid w:val="00843320"/>
    <w:rsid w:val="008470F1"/>
    <w:rsid w:val="008511D8"/>
    <w:rsid w:val="00854FB0"/>
    <w:rsid w:val="008B64ED"/>
    <w:rsid w:val="008F02DA"/>
    <w:rsid w:val="008F3071"/>
    <w:rsid w:val="009550A9"/>
    <w:rsid w:val="00955C10"/>
    <w:rsid w:val="00974483"/>
    <w:rsid w:val="009A0980"/>
    <w:rsid w:val="009A3B1E"/>
    <w:rsid w:val="00A30E27"/>
    <w:rsid w:val="00A65A80"/>
    <w:rsid w:val="00A77419"/>
    <w:rsid w:val="00A83921"/>
    <w:rsid w:val="00A93277"/>
    <w:rsid w:val="00AB0F15"/>
    <w:rsid w:val="00AB55A9"/>
    <w:rsid w:val="00AB72A3"/>
    <w:rsid w:val="00B10725"/>
    <w:rsid w:val="00B31FC1"/>
    <w:rsid w:val="00B83BBA"/>
    <w:rsid w:val="00BB000F"/>
    <w:rsid w:val="00BE5206"/>
    <w:rsid w:val="00BF16B4"/>
    <w:rsid w:val="00C21733"/>
    <w:rsid w:val="00C30163"/>
    <w:rsid w:val="00C556E5"/>
    <w:rsid w:val="00C76262"/>
    <w:rsid w:val="00C7719F"/>
    <w:rsid w:val="00C94AED"/>
    <w:rsid w:val="00CB2E8C"/>
    <w:rsid w:val="00CD71F3"/>
    <w:rsid w:val="00D11FA6"/>
    <w:rsid w:val="00D1370C"/>
    <w:rsid w:val="00D2779B"/>
    <w:rsid w:val="00D73BFF"/>
    <w:rsid w:val="00D76C7E"/>
    <w:rsid w:val="00D80891"/>
    <w:rsid w:val="00DB2F6B"/>
    <w:rsid w:val="00DE7E3D"/>
    <w:rsid w:val="00E13CC9"/>
    <w:rsid w:val="00E2307A"/>
    <w:rsid w:val="00E373F2"/>
    <w:rsid w:val="00E57C29"/>
    <w:rsid w:val="00E66A1A"/>
    <w:rsid w:val="00E91AC6"/>
    <w:rsid w:val="00EA1B00"/>
    <w:rsid w:val="00EB2052"/>
    <w:rsid w:val="00EC4284"/>
    <w:rsid w:val="00F21B36"/>
    <w:rsid w:val="00F40664"/>
    <w:rsid w:val="00F50329"/>
    <w:rsid w:val="00F7440C"/>
    <w:rsid w:val="00F82F27"/>
    <w:rsid w:val="00F92D19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10</cp:revision>
  <cp:lastPrinted>2018-06-13T09:47:00Z</cp:lastPrinted>
  <dcterms:created xsi:type="dcterms:W3CDTF">2018-01-17T16:03:00Z</dcterms:created>
  <dcterms:modified xsi:type="dcterms:W3CDTF">2018-06-13T09:47:00Z</dcterms:modified>
</cp:coreProperties>
</file>