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7376" w14:textId="2A9AEBD5" w:rsidR="00450788" w:rsidRPr="00B57E02" w:rsidRDefault="00AC6395" w:rsidP="00450788">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R</w:t>
      </w:r>
      <w:r w:rsidR="00450788">
        <w:rPr>
          <w:rFonts w:ascii="Arial" w:eastAsia="Times New Roman" w:hAnsi="Arial" w:cs="Arial"/>
          <w:b/>
          <w:color w:val="000000"/>
          <w:spacing w:val="5"/>
          <w:sz w:val="34"/>
          <w:szCs w:val="52"/>
        </w:rPr>
        <w:t xml:space="preserve">eading </w:t>
      </w:r>
      <w:proofErr w:type="spellStart"/>
      <w:r w:rsidR="00450788">
        <w:rPr>
          <w:rFonts w:ascii="Arial" w:eastAsia="Times New Roman" w:hAnsi="Arial" w:cs="Arial"/>
          <w:b/>
          <w:color w:val="000000"/>
          <w:spacing w:val="5"/>
          <w:sz w:val="34"/>
          <w:szCs w:val="52"/>
        </w:rPr>
        <w:t>while</w:t>
      </w:r>
      <w:proofErr w:type="spellEnd"/>
      <w:r w:rsidR="00450788">
        <w:rPr>
          <w:rFonts w:ascii="Arial" w:eastAsia="Times New Roman" w:hAnsi="Arial" w:cs="Arial"/>
          <w:b/>
          <w:color w:val="000000"/>
          <w:spacing w:val="5"/>
          <w:sz w:val="34"/>
          <w:szCs w:val="52"/>
        </w:rPr>
        <w:t xml:space="preserve"> </w:t>
      </w:r>
      <w:r>
        <w:rPr>
          <w:rFonts w:ascii="Arial" w:eastAsia="Times New Roman" w:hAnsi="Arial" w:cs="Arial"/>
          <w:b/>
          <w:color w:val="000000"/>
          <w:spacing w:val="5"/>
          <w:sz w:val="34"/>
          <w:szCs w:val="52"/>
        </w:rPr>
        <w:t>L</w:t>
      </w:r>
      <w:r w:rsidR="00450788">
        <w:rPr>
          <w:rFonts w:ascii="Arial" w:eastAsia="Times New Roman" w:hAnsi="Arial" w:cs="Arial"/>
          <w:b/>
          <w:color w:val="000000"/>
          <w:spacing w:val="5"/>
          <w:sz w:val="34"/>
          <w:szCs w:val="52"/>
        </w:rPr>
        <w:t>istening</w:t>
      </w:r>
    </w:p>
    <w:p w14:paraId="485E412C" w14:textId="77777777" w:rsidR="00450788" w:rsidRPr="00B57E02" w:rsidRDefault="00450788" w:rsidP="00450788">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714"/>
      </w:tblGrid>
      <w:tr w:rsidR="00450788" w:rsidRPr="00B57E02" w14:paraId="1CA46ACD" w14:textId="77777777" w:rsidTr="00976D4E">
        <w:tc>
          <w:tcPr>
            <w:tcW w:w="2376" w:type="dxa"/>
          </w:tcPr>
          <w:p w14:paraId="62F6FD83" w14:textId="77777777" w:rsidR="00450788" w:rsidRPr="00B57E02" w:rsidRDefault="00450788" w:rsidP="00976D4E">
            <w:pPr>
              <w:rPr>
                <w:rFonts w:ascii="Arial" w:hAnsi="Arial" w:cs="Arial"/>
                <w:b/>
                <w:sz w:val="22"/>
                <w:highlight w:val="yellow"/>
              </w:rPr>
            </w:pPr>
            <w:r w:rsidRPr="00B57E02">
              <w:rPr>
                <w:rFonts w:ascii="Arial" w:hAnsi="Arial" w:cs="Arial"/>
                <w:b/>
                <w:sz w:val="22"/>
              </w:rPr>
              <w:t>Schulart(en)</w:t>
            </w:r>
          </w:p>
        </w:tc>
        <w:tc>
          <w:tcPr>
            <w:tcW w:w="6910" w:type="dxa"/>
          </w:tcPr>
          <w:p w14:paraId="38688433" w14:textId="77777777" w:rsidR="00450788" w:rsidRPr="00B57E02" w:rsidRDefault="00450788" w:rsidP="00976D4E">
            <w:pPr>
              <w:rPr>
                <w:rFonts w:ascii="Arial" w:hAnsi="Arial" w:cs="Arial"/>
                <w:sz w:val="22"/>
                <w:highlight w:val="yellow"/>
              </w:rPr>
            </w:pPr>
            <w:r>
              <w:rPr>
                <w:rFonts w:ascii="Arial" w:hAnsi="Arial" w:cs="Arial"/>
                <w:sz w:val="22"/>
              </w:rPr>
              <w:t>a</w:t>
            </w:r>
            <w:r w:rsidRPr="00D91548">
              <w:rPr>
                <w:rFonts w:ascii="Arial" w:hAnsi="Arial" w:cs="Arial"/>
                <w:sz w:val="22"/>
              </w:rPr>
              <w:t>lle</w:t>
            </w:r>
          </w:p>
        </w:tc>
      </w:tr>
      <w:tr w:rsidR="00450788" w:rsidRPr="00B57E02" w14:paraId="3D1B42F5" w14:textId="77777777" w:rsidTr="00976D4E">
        <w:tc>
          <w:tcPr>
            <w:tcW w:w="2376" w:type="dxa"/>
          </w:tcPr>
          <w:p w14:paraId="6AA1FEE1" w14:textId="77777777" w:rsidR="00450788" w:rsidRPr="00B57E02" w:rsidRDefault="00450788" w:rsidP="00976D4E">
            <w:pPr>
              <w:rPr>
                <w:rFonts w:ascii="Arial" w:hAnsi="Arial" w:cs="Arial"/>
                <w:b/>
                <w:sz w:val="22"/>
                <w:highlight w:val="yellow"/>
              </w:rPr>
            </w:pPr>
            <w:r w:rsidRPr="00B57E02">
              <w:rPr>
                <w:rFonts w:ascii="Arial" w:hAnsi="Arial" w:cs="Arial"/>
                <w:b/>
                <w:sz w:val="22"/>
              </w:rPr>
              <w:t>Jahrgangsstufe(n)</w:t>
            </w:r>
          </w:p>
        </w:tc>
        <w:tc>
          <w:tcPr>
            <w:tcW w:w="6910" w:type="dxa"/>
          </w:tcPr>
          <w:p w14:paraId="63BBF7B8" w14:textId="77777777" w:rsidR="00450788" w:rsidRPr="00B57E02" w:rsidRDefault="00450788" w:rsidP="00976D4E">
            <w:pPr>
              <w:rPr>
                <w:rFonts w:ascii="Arial" w:hAnsi="Arial" w:cs="Arial"/>
                <w:sz w:val="22"/>
                <w:highlight w:val="yellow"/>
              </w:rPr>
            </w:pPr>
            <w:r w:rsidRPr="00D91548">
              <w:rPr>
                <w:rFonts w:ascii="Arial" w:hAnsi="Arial" w:cs="Arial"/>
                <w:sz w:val="22"/>
              </w:rPr>
              <w:t>3</w:t>
            </w:r>
            <w:r>
              <w:rPr>
                <w:rFonts w:ascii="Arial" w:hAnsi="Arial" w:cs="Arial"/>
                <w:sz w:val="22"/>
              </w:rPr>
              <w:t xml:space="preserve"> – </w:t>
            </w:r>
            <w:r w:rsidRPr="00D91548">
              <w:rPr>
                <w:rFonts w:ascii="Arial" w:hAnsi="Arial" w:cs="Arial"/>
                <w:sz w:val="22"/>
              </w:rPr>
              <w:t>10</w:t>
            </w:r>
            <w:r>
              <w:rPr>
                <w:rFonts w:ascii="Arial" w:hAnsi="Arial" w:cs="Arial"/>
                <w:sz w:val="22"/>
              </w:rPr>
              <w:t xml:space="preserve"> (modifizieren je nach Jahrgangsstufe)</w:t>
            </w:r>
          </w:p>
        </w:tc>
      </w:tr>
      <w:tr w:rsidR="00450788" w:rsidRPr="00B57E02" w14:paraId="128957E3" w14:textId="77777777" w:rsidTr="00976D4E">
        <w:tc>
          <w:tcPr>
            <w:tcW w:w="2376" w:type="dxa"/>
          </w:tcPr>
          <w:p w14:paraId="59E4872C" w14:textId="77777777" w:rsidR="00450788" w:rsidRPr="00B57E02" w:rsidRDefault="00450788" w:rsidP="00976D4E">
            <w:pPr>
              <w:rPr>
                <w:rFonts w:ascii="Arial" w:hAnsi="Arial" w:cs="Arial"/>
                <w:b/>
                <w:sz w:val="22"/>
                <w:highlight w:val="yellow"/>
              </w:rPr>
            </w:pPr>
            <w:r w:rsidRPr="00B57E02">
              <w:rPr>
                <w:rFonts w:ascii="Arial" w:hAnsi="Arial" w:cs="Arial"/>
                <w:b/>
                <w:sz w:val="22"/>
              </w:rPr>
              <w:t>Fach/Fächer/</w:t>
            </w:r>
            <w:proofErr w:type="spellStart"/>
            <w:r w:rsidRPr="00B57E02">
              <w:rPr>
                <w:rFonts w:ascii="Arial" w:hAnsi="Arial" w:cs="Arial"/>
                <w:b/>
                <w:sz w:val="22"/>
              </w:rPr>
              <w:t>fachüb</w:t>
            </w:r>
            <w:proofErr w:type="spellEnd"/>
            <w:r w:rsidRPr="00B57E02">
              <w:rPr>
                <w:rFonts w:ascii="Arial" w:hAnsi="Arial" w:cs="Arial"/>
                <w:b/>
                <w:sz w:val="22"/>
              </w:rPr>
              <w:t>.</w:t>
            </w:r>
          </w:p>
        </w:tc>
        <w:tc>
          <w:tcPr>
            <w:tcW w:w="6910" w:type="dxa"/>
          </w:tcPr>
          <w:p w14:paraId="2F22787B" w14:textId="77777777" w:rsidR="00450788" w:rsidRPr="00B57E02" w:rsidRDefault="00450788" w:rsidP="00976D4E">
            <w:pPr>
              <w:spacing w:after="0"/>
              <w:rPr>
                <w:rFonts w:ascii="Arial" w:hAnsi="Arial" w:cs="Arial"/>
                <w:sz w:val="22"/>
              </w:rPr>
            </w:pPr>
            <w:r>
              <w:rPr>
                <w:rFonts w:ascii="Arial" w:hAnsi="Arial" w:cs="Arial"/>
                <w:sz w:val="22"/>
              </w:rPr>
              <w:t>alle</w:t>
            </w:r>
          </w:p>
          <w:p w14:paraId="5874C3D3" w14:textId="77777777" w:rsidR="00450788" w:rsidRPr="00B57E02" w:rsidRDefault="00450788" w:rsidP="00976D4E">
            <w:pPr>
              <w:spacing w:before="0"/>
              <w:rPr>
                <w:rFonts w:ascii="Arial" w:hAnsi="Arial" w:cs="Arial"/>
                <w:sz w:val="22"/>
                <w:highlight w:val="yellow"/>
              </w:rPr>
            </w:pPr>
          </w:p>
        </w:tc>
      </w:tr>
      <w:tr w:rsidR="00450788" w:rsidRPr="00B57E02" w14:paraId="57334FC5" w14:textId="77777777" w:rsidTr="00976D4E">
        <w:tc>
          <w:tcPr>
            <w:tcW w:w="2376" w:type="dxa"/>
          </w:tcPr>
          <w:p w14:paraId="39FD57F6" w14:textId="77777777" w:rsidR="00450788" w:rsidRPr="00B57E02" w:rsidRDefault="00450788" w:rsidP="00976D4E">
            <w:pPr>
              <w:rPr>
                <w:rFonts w:ascii="Arial" w:hAnsi="Arial" w:cs="Arial"/>
                <w:b/>
                <w:sz w:val="22"/>
              </w:rPr>
            </w:pPr>
            <w:r w:rsidRPr="00B57E02">
              <w:rPr>
                <w:rFonts w:ascii="Arial" w:hAnsi="Arial" w:cs="Arial"/>
                <w:b/>
                <w:sz w:val="22"/>
              </w:rPr>
              <w:t>Textarten</w:t>
            </w:r>
          </w:p>
        </w:tc>
        <w:tc>
          <w:tcPr>
            <w:tcW w:w="6910" w:type="dxa"/>
          </w:tcPr>
          <w:p w14:paraId="4724508F" w14:textId="77777777" w:rsidR="00450788" w:rsidRPr="00B57E02" w:rsidRDefault="00450788" w:rsidP="00976D4E">
            <w:pPr>
              <w:spacing w:before="0"/>
              <w:rPr>
                <w:rFonts w:ascii="Arial" w:hAnsi="Arial" w:cs="Arial"/>
                <w:sz w:val="22"/>
              </w:rPr>
            </w:pPr>
            <w:r>
              <w:rPr>
                <w:rFonts w:ascii="Arial" w:hAnsi="Arial" w:cs="Arial"/>
                <w:sz w:val="22"/>
              </w:rPr>
              <w:t>Fiktionale und nicht fiktionale Texte</w:t>
            </w:r>
          </w:p>
        </w:tc>
      </w:tr>
      <w:tr w:rsidR="00450788" w:rsidRPr="00B57E02" w14:paraId="195C3CDA" w14:textId="77777777" w:rsidTr="00976D4E">
        <w:tc>
          <w:tcPr>
            <w:tcW w:w="2376" w:type="dxa"/>
          </w:tcPr>
          <w:p w14:paraId="66881FE4" w14:textId="77777777" w:rsidR="00450788" w:rsidRPr="00B57E02" w:rsidRDefault="00450788" w:rsidP="00976D4E">
            <w:pPr>
              <w:rPr>
                <w:rFonts w:ascii="Arial" w:hAnsi="Arial" w:cs="Arial"/>
                <w:b/>
                <w:sz w:val="22"/>
              </w:rPr>
            </w:pPr>
            <w:r w:rsidRPr="00B57E02">
              <w:rPr>
                <w:rFonts w:ascii="Arial" w:hAnsi="Arial" w:cs="Arial"/>
                <w:b/>
                <w:sz w:val="22"/>
              </w:rPr>
              <w:t xml:space="preserve">Kurzbeschreibung </w:t>
            </w:r>
          </w:p>
        </w:tc>
        <w:tc>
          <w:tcPr>
            <w:tcW w:w="6910" w:type="dxa"/>
          </w:tcPr>
          <w:p w14:paraId="0F3C5A2E" w14:textId="77777777" w:rsidR="00450788" w:rsidRPr="00B57E02" w:rsidRDefault="00450788" w:rsidP="00976D4E">
            <w:pPr>
              <w:rPr>
                <w:rFonts w:ascii="Arial" w:hAnsi="Arial" w:cs="Arial"/>
                <w:sz w:val="22"/>
              </w:rPr>
            </w:pPr>
            <w:r>
              <w:rPr>
                <w:rFonts w:ascii="Arial" w:hAnsi="Arial" w:cs="Arial"/>
                <w:sz w:val="22"/>
              </w:rPr>
              <w:t>Laut-Lese-Training zur Verbesserung der Leseflüssigkeit</w:t>
            </w:r>
          </w:p>
        </w:tc>
      </w:tr>
      <w:tr w:rsidR="00450788" w:rsidRPr="00B57E02" w14:paraId="09706A74" w14:textId="77777777" w:rsidTr="00976D4E">
        <w:tc>
          <w:tcPr>
            <w:tcW w:w="2376" w:type="dxa"/>
          </w:tcPr>
          <w:p w14:paraId="02973C22" w14:textId="77777777" w:rsidR="00450788" w:rsidRPr="00B57E02" w:rsidRDefault="00450788" w:rsidP="00976D4E">
            <w:pPr>
              <w:rPr>
                <w:rFonts w:ascii="Arial" w:hAnsi="Arial" w:cs="Arial"/>
                <w:b/>
                <w:sz w:val="22"/>
              </w:rPr>
            </w:pPr>
            <w:r w:rsidRPr="00B57E02">
              <w:rPr>
                <w:rFonts w:ascii="Arial" w:hAnsi="Arial" w:cs="Arial"/>
                <w:b/>
                <w:sz w:val="22"/>
              </w:rPr>
              <w:t xml:space="preserve">Materialien </w:t>
            </w:r>
          </w:p>
        </w:tc>
        <w:tc>
          <w:tcPr>
            <w:tcW w:w="6910" w:type="dxa"/>
          </w:tcPr>
          <w:p w14:paraId="7EEA9C05" w14:textId="4269D3B9" w:rsidR="00450788" w:rsidRPr="00B57E02" w:rsidRDefault="00450788" w:rsidP="00976D4E">
            <w:pPr>
              <w:spacing w:before="0"/>
              <w:rPr>
                <w:rFonts w:ascii="Arial" w:hAnsi="Arial" w:cs="Arial"/>
                <w:sz w:val="22"/>
              </w:rPr>
            </w:pPr>
            <w:r>
              <w:rPr>
                <w:rFonts w:ascii="Arial" w:hAnsi="Arial" w:cs="Arial"/>
                <w:sz w:val="22"/>
              </w:rPr>
              <w:t>Lesetexte mit passender Audioversion</w:t>
            </w:r>
            <w:r w:rsidR="009A6ACB">
              <w:rPr>
                <w:rFonts w:ascii="Arial" w:hAnsi="Arial" w:cs="Arial"/>
                <w:sz w:val="22"/>
              </w:rPr>
              <w:t xml:space="preserve">, </w:t>
            </w:r>
            <w:r>
              <w:rPr>
                <w:rFonts w:ascii="Arial" w:hAnsi="Arial" w:cs="Arial"/>
                <w:sz w:val="22"/>
              </w:rPr>
              <w:t>Audioplayer mit Kopfhörern</w:t>
            </w:r>
            <w:r w:rsidR="00B942A3">
              <w:rPr>
                <w:rFonts w:ascii="Arial" w:hAnsi="Arial" w:cs="Arial"/>
                <w:sz w:val="22"/>
              </w:rPr>
              <w:t xml:space="preserve">, </w:t>
            </w:r>
            <w:r w:rsidR="009A6ACB">
              <w:rPr>
                <w:rFonts w:ascii="Arial" w:hAnsi="Arial" w:cs="Arial"/>
                <w:sz w:val="22"/>
              </w:rPr>
              <w:t xml:space="preserve">evtl. Hörbücher, </w:t>
            </w:r>
            <w:r w:rsidR="00B942A3">
              <w:rPr>
                <w:rFonts w:ascii="Arial" w:hAnsi="Arial" w:cs="Arial"/>
                <w:sz w:val="22"/>
              </w:rPr>
              <w:t>evtl. Lernfortschrittsdokumente</w:t>
            </w:r>
          </w:p>
        </w:tc>
      </w:tr>
      <w:tr w:rsidR="00450788" w:rsidRPr="00B57E02" w14:paraId="055711C5" w14:textId="77777777" w:rsidTr="00976D4E">
        <w:tc>
          <w:tcPr>
            <w:tcW w:w="2376" w:type="dxa"/>
            <w:tcBorders>
              <w:top w:val="single" w:sz="4" w:space="0" w:color="auto"/>
              <w:left w:val="single" w:sz="4" w:space="0" w:color="auto"/>
              <w:bottom w:val="single" w:sz="4" w:space="0" w:color="auto"/>
              <w:right w:val="single" w:sz="4" w:space="0" w:color="auto"/>
            </w:tcBorders>
          </w:tcPr>
          <w:p w14:paraId="38B08748" w14:textId="77777777" w:rsidR="00450788" w:rsidRPr="00B57E02" w:rsidRDefault="00450788" w:rsidP="00976D4E">
            <w:pPr>
              <w:rPr>
                <w:rFonts w:ascii="Arial" w:hAnsi="Arial" w:cs="Arial"/>
                <w:b/>
                <w:sz w:val="22"/>
              </w:rPr>
            </w:pPr>
            <w:r w:rsidRPr="00B57E02">
              <w:rPr>
                <w:rFonts w:ascii="Arial" w:hAnsi="Arial" w:cs="Arial"/>
                <w:b/>
                <w:sz w:val="22"/>
              </w:rPr>
              <w:t xml:space="preserve">Hinweise </w:t>
            </w:r>
          </w:p>
        </w:tc>
        <w:tc>
          <w:tcPr>
            <w:tcW w:w="6910" w:type="dxa"/>
            <w:tcBorders>
              <w:top w:val="single" w:sz="4" w:space="0" w:color="auto"/>
              <w:left w:val="single" w:sz="4" w:space="0" w:color="auto"/>
              <w:bottom w:val="single" w:sz="4" w:space="0" w:color="auto"/>
              <w:right w:val="single" w:sz="4" w:space="0" w:color="auto"/>
            </w:tcBorders>
          </w:tcPr>
          <w:p w14:paraId="6742B643" w14:textId="199D56F3" w:rsidR="00450788" w:rsidRPr="00B57E02" w:rsidRDefault="00450788" w:rsidP="00976D4E">
            <w:pPr>
              <w:spacing w:after="0"/>
              <w:jc w:val="both"/>
              <w:rPr>
                <w:rFonts w:ascii="Arial" w:hAnsi="Arial" w:cs="Arial"/>
                <w:sz w:val="22"/>
              </w:rPr>
            </w:pPr>
            <w:r>
              <w:rPr>
                <w:rFonts w:ascii="Arial" w:hAnsi="Arial" w:cs="Arial"/>
                <w:sz w:val="22"/>
              </w:rPr>
              <w:t>Je nach Arbeitsauftrag werden unterschiedliche</w:t>
            </w:r>
            <w:r w:rsidR="0064016A">
              <w:rPr>
                <w:rFonts w:ascii="Arial" w:hAnsi="Arial" w:cs="Arial"/>
                <w:sz w:val="22"/>
              </w:rPr>
              <w:t xml:space="preserve">, adressatengerechte </w:t>
            </w:r>
            <w:r>
              <w:rPr>
                <w:rFonts w:ascii="Arial" w:hAnsi="Arial" w:cs="Arial"/>
                <w:sz w:val="22"/>
              </w:rPr>
              <w:t>Texte b</w:t>
            </w:r>
            <w:r w:rsidR="0064016A">
              <w:rPr>
                <w:rFonts w:ascii="Arial" w:hAnsi="Arial" w:cs="Arial"/>
                <w:sz w:val="22"/>
              </w:rPr>
              <w:t>enötigt.</w:t>
            </w:r>
          </w:p>
        </w:tc>
      </w:tr>
    </w:tbl>
    <w:p w14:paraId="63A7EA4E" w14:textId="0C7F60C1" w:rsidR="00243C50" w:rsidRDefault="00243C50"/>
    <w:tbl>
      <w:tblPr>
        <w:tblStyle w:val="Tabellenraster"/>
        <w:tblW w:w="0" w:type="auto"/>
        <w:tblInd w:w="0" w:type="dxa"/>
        <w:tblLook w:val="04A0" w:firstRow="1" w:lastRow="0" w:firstColumn="1" w:lastColumn="0" w:noHBand="0" w:noVBand="1"/>
      </w:tblPr>
      <w:tblGrid>
        <w:gridCol w:w="9060"/>
      </w:tblGrid>
      <w:tr w:rsidR="00450788" w:rsidRPr="00450788" w14:paraId="317CDDF4" w14:textId="77777777" w:rsidTr="000606C6">
        <w:tc>
          <w:tcPr>
            <w:tcW w:w="9060" w:type="dxa"/>
            <w:tcBorders>
              <w:top w:val="single" w:sz="4" w:space="0" w:color="auto"/>
              <w:left w:val="single" w:sz="4" w:space="0" w:color="auto"/>
              <w:bottom w:val="single" w:sz="4" w:space="0" w:color="auto"/>
              <w:right w:val="single" w:sz="4" w:space="0" w:color="auto"/>
            </w:tcBorders>
            <w:hideMark/>
          </w:tcPr>
          <w:p w14:paraId="32D4D6FC" w14:textId="6CD05DAD" w:rsidR="00450788" w:rsidRPr="00450788" w:rsidRDefault="00AC6395" w:rsidP="00450788">
            <w:pPr>
              <w:spacing w:before="0" w:after="0" w:line="360" w:lineRule="auto"/>
              <w:jc w:val="center"/>
              <w:rPr>
                <w:rFonts w:ascii="Arial" w:hAnsi="Arial" w:cs="Arial"/>
                <w:b/>
                <w:bCs/>
                <w:color w:val="333333"/>
                <w:sz w:val="34"/>
                <w:szCs w:val="34"/>
                <w:shd w:val="clear" w:color="auto" w:fill="FFFFFF"/>
              </w:rPr>
            </w:pPr>
            <w:r>
              <w:rPr>
                <w:rFonts w:ascii="Arial" w:hAnsi="Arial" w:cs="Arial"/>
                <w:b/>
                <w:bCs/>
                <w:color w:val="333333"/>
                <w:sz w:val="34"/>
                <w:szCs w:val="34"/>
                <w:shd w:val="clear" w:color="auto" w:fill="FFFFFF"/>
              </w:rPr>
              <w:t xml:space="preserve">Reading </w:t>
            </w:r>
            <w:proofErr w:type="spellStart"/>
            <w:r>
              <w:rPr>
                <w:rFonts w:ascii="Arial" w:hAnsi="Arial" w:cs="Arial"/>
                <w:b/>
                <w:bCs/>
                <w:color w:val="333333"/>
                <w:sz w:val="34"/>
                <w:szCs w:val="34"/>
                <w:shd w:val="clear" w:color="auto" w:fill="FFFFFF"/>
              </w:rPr>
              <w:t>while</w:t>
            </w:r>
            <w:proofErr w:type="spellEnd"/>
            <w:r>
              <w:rPr>
                <w:rFonts w:ascii="Arial" w:hAnsi="Arial" w:cs="Arial"/>
                <w:b/>
                <w:bCs/>
                <w:color w:val="333333"/>
                <w:sz w:val="34"/>
                <w:szCs w:val="34"/>
                <w:shd w:val="clear" w:color="auto" w:fill="FFFFFF"/>
              </w:rPr>
              <w:t xml:space="preserve"> Listening</w:t>
            </w:r>
          </w:p>
          <w:p w14:paraId="2A48449C" w14:textId="77777777" w:rsidR="00450788" w:rsidRPr="00450788" w:rsidRDefault="00450788" w:rsidP="00450788">
            <w:pPr>
              <w:spacing w:before="0" w:after="0" w:line="360" w:lineRule="auto"/>
              <w:jc w:val="center"/>
              <w:rPr>
                <w:rFonts w:ascii="Helvetica" w:hAnsi="Helvetica"/>
                <w:color w:val="333333"/>
                <w:sz w:val="34"/>
                <w:szCs w:val="34"/>
                <w:shd w:val="clear" w:color="auto" w:fill="FFFFFF"/>
              </w:rPr>
            </w:pPr>
            <w:r w:rsidRPr="00450788">
              <w:rPr>
                <w:rFonts w:ascii="Arial" w:hAnsi="Arial" w:cs="Arial"/>
                <w:b/>
                <w:bCs/>
                <w:color w:val="333333"/>
                <w:sz w:val="34"/>
                <w:szCs w:val="34"/>
                <w:shd w:val="clear" w:color="auto" w:fill="FFFFFF"/>
              </w:rPr>
              <w:t>Methodenkarte</w:t>
            </w:r>
          </w:p>
        </w:tc>
      </w:tr>
      <w:tr w:rsidR="00450788" w:rsidRPr="00450788" w14:paraId="257A5562" w14:textId="77777777" w:rsidTr="000606C6">
        <w:tc>
          <w:tcPr>
            <w:tcW w:w="9060" w:type="dxa"/>
            <w:tcBorders>
              <w:top w:val="single" w:sz="4" w:space="0" w:color="auto"/>
              <w:left w:val="single" w:sz="4" w:space="0" w:color="auto"/>
              <w:bottom w:val="single" w:sz="4" w:space="0" w:color="auto"/>
              <w:right w:val="single" w:sz="4" w:space="0" w:color="auto"/>
            </w:tcBorders>
          </w:tcPr>
          <w:p w14:paraId="490BFF59" w14:textId="5BD95C54" w:rsidR="00450788" w:rsidRDefault="00450788" w:rsidP="00AC6395">
            <w:pPr>
              <w:spacing w:after="0" w:line="360" w:lineRule="auto"/>
              <w:rPr>
                <w:rFonts w:ascii="Arial" w:hAnsi="Arial" w:cs="Arial"/>
                <w:color w:val="333333"/>
                <w:sz w:val="22"/>
                <w:shd w:val="clear" w:color="auto" w:fill="FFFFFF"/>
              </w:rPr>
            </w:pPr>
            <w:r w:rsidRPr="00450788">
              <w:rPr>
                <w:rFonts w:ascii="Arial" w:hAnsi="Arial" w:cs="Arial"/>
                <w:color w:val="333333"/>
                <w:sz w:val="22"/>
                <w:shd w:val="clear" w:color="auto" w:fill="FFFFFF"/>
              </w:rPr>
              <w:t xml:space="preserve">Zum </w:t>
            </w:r>
            <w:r w:rsidR="00AC6395">
              <w:rPr>
                <w:rFonts w:ascii="Arial" w:hAnsi="Arial" w:cs="Arial"/>
                <w:color w:val="333333"/>
                <w:sz w:val="22"/>
                <w:shd w:val="clear" w:color="auto" w:fill="FFFFFF"/>
              </w:rPr>
              <w:t xml:space="preserve">sinnentnehmenden </w:t>
            </w:r>
            <w:r w:rsidRPr="00450788">
              <w:rPr>
                <w:rFonts w:ascii="Arial" w:hAnsi="Arial" w:cs="Arial"/>
                <w:color w:val="333333"/>
                <w:sz w:val="22"/>
                <w:shd w:val="clear" w:color="auto" w:fill="FFFFFF"/>
              </w:rPr>
              <w:t xml:space="preserve">Lesen gehört </w:t>
            </w:r>
            <w:r w:rsidR="00AC6395">
              <w:rPr>
                <w:rFonts w:ascii="Arial" w:hAnsi="Arial" w:cs="Arial"/>
                <w:color w:val="333333"/>
                <w:sz w:val="22"/>
                <w:shd w:val="clear" w:color="auto" w:fill="FFFFFF"/>
              </w:rPr>
              <w:t>maßgeblich auch eine angemessene Leseflüssigkeit. Gerade diese fehlt vielen Schülerinnen und Schülern, so dass sich diese Methode für Leseschwache eignet, die schon über grundlegende Wortlesefähigkeiten verfügen.</w:t>
            </w:r>
          </w:p>
          <w:p w14:paraId="3CB7DE3A" w14:textId="4646C75C" w:rsidR="00AC6395" w:rsidRDefault="00B942A3" w:rsidP="00AC6395">
            <w:pPr>
              <w:spacing w:after="0" w:line="360" w:lineRule="auto"/>
              <w:rPr>
                <w:rFonts w:ascii="Arial" w:hAnsi="Arial" w:cs="Arial"/>
                <w:color w:val="333333"/>
                <w:sz w:val="22"/>
                <w:shd w:val="clear" w:color="auto" w:fill="FFFFFF"/>
              </w:rPr>
            </w:pPr>
            <w:r>
              <w:rPr>
                <w:rFonts w:ascii="Arial" w:hAnsi="Arial" w:cs="Arial"/>
                <w:color w:val="333333"/>
                <w:sz w:val="22"/>
                <w:shd w:val="clear" w:color="auto" w:fill="FFFFFF"/>
              </w:rPr>
              <w:t xml:space="preserve">Eine Voraussetzung für ein gelingendes Umsetzen diese Methode ist die Auswahl von adressatengerechten Texten, die sprachlich und stilistisch von der Zielgruppe bearbeitet werden können. Dabei kann es hilfreich sein, die Schülerinnen und Schüler bei der Textauswahl zu beteiligen, damit über eine Identifikation mit den Inhalten eine grundlegende Motivation gegeben ist. </w:t>
            </w:r>
          </w:p>
          <w:p w14:paraId="245AFA40" w14:textId="2F55DE09" w:rsidR="005454FD" w:rsidRDefault="005454FD" w:rsidP="00AC6395">
            <w:pPr>
              <w:spacing w:after="0" w:line="360" w:lineRule="auto"/>
              <w:rPr>
                <w:rFonts w:ascii="Arial" w:hAnsi="Arial" w:cs="Arial"/>
                <w:color w:val="333333"/>
                <w:sz w:val="22"/>
                <w:shd w:val="clear" w:color="auto" w:fill="FFFFFF"/>
              </w:rPr>
            </w:pPr>
            <w:r w:rsidRPr="004E0FA2">
              <w:rPr>
                <w:rFonts w:ascii="Arial" w:hAnsi="Arial" w:cs="Arial"/>
                <w:color w:val="333333"/>
                <w:sz w:val="22"/>
                <w:shd w:val="clear" w:color="auto" w:fill="FFFFFF"/>
              </w:rPr>
              <w:t>Des Weiteren sollten die Texte und die Audiodatei identisch sein, so dass es keine Nebengeräusche, Unterbrechungen</w:t>
            </w:r>
            <w:r w:rsidR="004E0FA2" w:rsidRPr="004E0FA2">
              <w:rPr>
                <w:rFonts w:ascii="Arial" w:hAnsi="Arial" w:cs="Arial"/>
                <w:color w:val="333333"/>
                <w:sz w:val="22"/>
                <w:shd w:val="clear" w:color="auto" w:fill="FFFFFF"/>
              </w:rPr>
              <w:t xml:space="preserve">, Bilder </w:t>
            </w:r>
            <w:r w:rsidRPr="004E0FA2">
              <w:rPr>
                <w:rFonts w:ascii="Arial" w:hAnsi="Arial" w:cs="Arial"/>
                <w:color w:val="333333"/>
                <w:sz w:val="22"/>
                <w:shd w:val="clear" w:color="auto" w:fill="FFFFFF"/>
              </w:rPr>
              <w:t>o. ä. gibt, die die Lesekonzentration</w:t>
            </w:r>
            <w:r>
              <w:rPr>
                <w:rFonts w:ascii="Arial" w:hAnsi="Arial" w:cs="Arial"/>
                <w:color w:val="333333"/>
                <w:sz w:val="22"/>
                <w:shd w:val="clear" w:color="auto" w:fill="FFFFFF"/>
              </w:rPr>
              <w:t xml:space="preserve"> beeinträchtigen. </w:t>
            </w:r>
          </w:p>
          <w:p w14:paraId="3D0FBB15" w14:textId="77777777" w:rsidR="00450788" w:rsidRDefault="005454FD" w:rsidP="000606C6">
            <w:pPr>
              <w:spacing w:after="0" w:line="360" w:lineRule="auto"/>
              <w:rPr>
                <w:rFonts w:ascii="Arial" w:hAnsi="Arial" w:cs="Arial"/>
                <w:color w:val="333333"/>
                <w:sz w:val="22"/>
                <w:shd w:val="clear" w:color="auto" w:fill="FFFFFF"/>
              </w:rPr>
            </w:pPr>
            <w:r>
              <w:rPr>
                <w:rFonts w:ascii="Arial" w:hAnsi="Arial" w:cs="Arial"/>
                <w:color w:val="333333"/>
                <w:sz w:val="22"/>
                <w:shd w:val="clear" w:color="auto" w:fill="FFFFFF"/>
              </w:rPr>
              <w:t>Für dieses Verfahren bilden sich innerhalb der Klasse Lesepaare aus eine</w:t>
            </w:r>
            <w:r w:rsidR="005B6D35">
              <w:rPr>
                <w:rFonts w:ascii="Arial" w:hAnsi="Arial" w:cs="Arial"/>
                <w:color w:val="333333"/>
                <w:sz w:val="22"/>
                <w:shd w:val="clear" w:color="auto" w:fill="FFFFFF"/>
              </w:rPr>
              <w:t>r/</w:t>
            </w:r>
            <w:r>
              <w:rPr>
                <w:rFonts w:ascii="Arial" w:hAnsi="Arial" w:cs="Arial"/>
                <w:color w:val="333333"/>
                <w:sz w:val="22"/>
                <w:shd w:val="clear" w:color="auto" w:fill="FFFFFF"/>
              </w:rPr>
              <w:t>m leseschwachen und eine</w:t>
            </w:r>
            <w:r w:rsidR="005B6D35">
              <w:rPr>
                <w:rFonts w:ascii="Arial" w:hAnsi="Arial" w:cs="Arial"/>
                <w:color w:val="333333"/>
                <w:sz w:val="22"/>
                <w:shd w:val="clear" w:color="auto" w:fill="FFFFFF"/>
              </w:rPr>
              <w:t>r/</w:t>
            </w:r>
            <w:r>
              <w:rPr>
                <w:rFonts w:ascii="Arial" w:hAnsi="Arial" w:cs="Arial"/>
                <w:color w:val="333333"/>
                <w:sz w:val="22"/>
                <w:shd w:val="clear" w:color="auto" w:fill="FFFFFF"/>
              </w:rPr>
              <w:t>m lesestarken Partner</w:t>
            </w:r>
            <w:r w:rsidR="005B6D35">
              <w:rPr>
                <w:rFonts w:ascii="Arial" w:hAnsi="Arial" w:cs="Arial"/>
                <w:color w:val="333333"/>
                <w:sz w:val="22"/>
                <w:shd w:val="clear" w:color="auto" w:fill="FFFFFF"/>
              </w:rPr>
              <w:t>*in</w:t>
            </w:r>
            <w:r>
              <w:rPr>
                <w:rFonts w:ascii="Arial" w:hAnsi="Arial" w:cs="Arial"/>
                <w:color w:val="333333"/>
                <w:sz w:val="22"/>
                <w:shd w:val="clear" w:color="auto" w:fill="FFFFFF"/>
              </w:rPr>
              <w:t xml:space="preserve">, die bei Einhaltung der Leseregeln einen Text gemeinsam halblaut lesen. Durch das gemeinsame Mitlesen können Lesefehler durch </w:t>
            </w:r>
            <w:r w:rsidR="004E0FA2">
              <w:rPr>
                <w:rFonts w:ascii="Arial" w:hAnsi="Arial" w:cs="Arial"/>
                <w:color w:val="333333"/>
                <w:sz w:val="22"/>
                <w:shd w:val="clear" w:color="auto" w:fill="FFFFFF"/>
              </w:rPr>
              <w:t>den</w:t>
            </w:r>
          </w:p>
          <w:p w14:paraId="66C4C304" w14:textId="1DAE26B5" w:rsidR="009930A0" w:rsidRPr="00450788" w:rsidRDefault="009930A0" w:rsidP="000606C6">
            <w:pPr>
              <w:spacing w:after="0" w:line="360" w:lineRule="auto"/>
              <w:rPr>
                <w:rFonts w:ascii="Helvetica" w:hAnsi="Helvetica"/>
                <w:color w:val="333333"/>
                <w:sz w:val="27"/>
                <w:szCs w:val="27"/>
                <w:shd w:val="clear" w:color="auto" w:fill="FFFFFF"/>
              </w:rPr>
            </w:pPr>
            <w:bookmarkStart w:id="0" w:name="_GoBack"/>
            <w:bookmarkEnd w:id="0"/>
          </w:p>
        </w:tc>
      </w:tr>
      <w:tr w:rsidR="000606C6" w14:paraId="72188300" w14:textId="77777777" w:rsidTr="000606C6">
        <w:tc>
          <w:tcPr>
            <w:tcW w:w="9060" w:type="dxa"/>
          </w:tcPr>
          <w:p w14:paraId="0AB559C4" w14:textId="77777777" w:rsidR="000606C6" w:rsidRPr="000606C6" w:rsidRDefault="000606C6" w:rsidP="000606C6">
            <w:pPr>
              <w:spacing w:before="0" w:after="0" w:line="360" w:lineRule="auto"/>
              <w:jc w:val="center"/>
              <w:rPr>
                <w:rFonts w:ascii="Arial" w:hAnsi="Arial" w:cs="Arial"/>
                <w:b/>
                <w:bCs/>
                <w:color w:val="333333"/>
                <w:sz w:val="34"/>
                <w:szCs w:val="34"/>
                <w:shd w:val="clear" w:color="auto" w:fill="FFFFFF"/>
              </w:rPr>
            </w:pPr>
            <w:r w:rsidRPr="000606C6">
              <w:rPr>
                <w:rFonts w:ascii="Arial" w:hAnsi="Arial" w:cs="Arial"/>
                <w:b/>
                <w:bCs/>
                <w:color w:val="333333"/>
                <w:sz w:val="34"/>
                <w:szCs w:val="34"/>
                <w:shd w:val="clear" w:color="auto" w:fill="FFFFFF"/>
              </w:rPr>
              <w:lastRenderedPageBreak/>
              <w:t xml:space="preserve">Reading </w:t>
            </w:r>
            <w:proofErr w:type="spellStart"/>
            <w:r w:rsidRPr="000606C6">
              <w:rPr>
                <w:rFonts w:ascii="Arial" w:hAnsi="Arial" w:cs="Arial"/>
                <w:b/>
                <w:bCs/>
                <w:color w:val="333333"/>
                <w:sz w:val="34"/>
                <w:szCs w:val="34"/>
                <w:shd w:val="clear" w:color="auto" w:fill="FFFFFF"/>
              </w:rPr>
              <w:t>while</w:t>
            </w:r>
            <w:proofErr w:type="spellEnd"/>
            <w:r w:rsidRPr="000606C6">
              <w:rPr>
                <w:rFonts w:ascii="Arial" w:hAnsi="Arial" w:cs="Arial"/>
                <w:b/>
                <w:bCs/>
                <w:color w:val="333333"/>
                <w:sz w:val="34"/>
                <w:szCs w:val="34"/>
                <w:shd w:val="clear" w:color="auto" w:fill="FFFFFF"/>
              </w:rPr>
              <w:t xml:space="preserve"> Listening</w:t>
            </w:r>
          </w:p>
          <w:p w14:paraId="7B61CD93" w14:textId="0C053775" w:rsidR="000606C6" w:rsidRDefault="000606C6" w:rsidP="000606C6">
            <w:pPr>
              <w:spacing w:before="0" w:after="0" w:line="360" w:lineRule="auto"/>
              <w:jc w:val="center"/>
              <w:rPr>
                <w:rStyle w:val="noext"/>
                <w:rFonts w:ascii="Helvetica" w:hAnsi="Helvetica"/>
                <w:color w:val="333333"/>
                <w:sz w:val="27"/>
                <w:szCs w:val="27"/>
                <w:shd w:val="clear" w:color="auto" w:fill="FFFFFF"/>
              </w:rPr>
            </w:pPr>
            <w:r w:rsidRPr="00450788">
              <w:rPr>
                <w:rFonts w:ascii="Arial" w:hAnsi="Arial" w:cs="Arial"/>
                <w:b/>
                <w:bCs/>
                <w:color w:val="333333"/>
                <w:sz w:val="34"/>
                <w:szCs w:val="34"/>
                <w:shd w:val="clear" w:color="auto" w:fill="FFFFFF"/>
              </w:rPr>
              <w:t>Methodenkarte</w:t>
            </w:r>
            <w:r w:rsidRPr="000606C6">
              <w:rPr>
                <w:rFonts w:ascii="Arial" w:hAnsi="Arial" w:cs="Arial"/>
                <w:b/>
                <w:bCs/>
                <w:color w:val="333333"/>
                <w:sz w:val="34"/>
                <w:szCs w:val="34"/>
                <w:shd w:val="clear" w:color="auto" w:fill="FFFFFF"/>
              </w:rPr>
              <w:t xml:space="preserve"> </w:t>
            </w:r>
          </w:p>
        </w:tc>
      </w:tr>
      <w:tr w:rsidR="000606C6" w14:paraId="572069D6" w14:textId="77777777" w:rsidTr="000606C6">
        <w:tc>
          <w:tcPr>
            <w:tcW w:w="9060" w:type="dxa"/>
          </w:tcPr>
          <w:p w14:paraId="2482C5AB" w14:textId="7C6F9BD7" w:rsidR="000606C6" w:rsidRPr="000606C6" w:rsidRDefault="00E42293" w:rsidP="000606C6">
            <w:pPr>
              <w:spacing w:after="0" w:line="360" w:lineRule="auto"/>
              <w:rPr>
                <w:rFonts w:ascii="Arial" w:hAnsi="Arial" w:cs="Arial"/>
                <w:color w:val="333333"/>
                <w:sz w:val="22"/>
                <w:shd w:val="clear" w:color="auto" w:fill="FFFFFF"/>
              </w:rPr>
            </w:pPr>
            <w:r>
              <w:rPr>
                <w:rFonts w:ascii="Arial" w:hAnsi="Arial" w:cs="Arial"/>
                <w:color w:val="333333"/>
                <w:sz w:val="22"/>
                <w:shd w:val="clear" w:color="auto" w:fill="FFFFFF"/>
              </w:rPr>
              <w:t>l</w:t>
            </w:r>
            <w:r w:rsidR="000606C6" w:rsidRPr="000606C6">
              <w:rPr>
                <w:rFonts w:ascii="Arial" w:hAnsi="Arial" w:cs="Arial"/>
                <w:color w:val="333333"/>
                <w:sz w:val="22"/>
                <w:shd w:val="clear" w:color="auto" w:fill="FFFFFF"/>
              </w:rPr>
              <w:t xml:space="preserve">esestarken </w:t>
            </w:r>
            <w:r>
              <w:rPr>
                <w:rFonts w:ascii="Arial" w:hAnsi="Arial" w:cs="Arial"/>
                <w:color w:val="333333"/>
                <w:sz w:val="22"/>
                <w:shd w:val="clear" w:color="auto" w:fill="FFFFFF"/>
              </w:rPr>
              <w:t xml:space="preserve">Part </w:t>
            </w:r>
            <w:r w:rsidR="000606C6" w:rsidRPr="000606C6">
              <w:rPr>
                <w:rFonts w:ascii="Arial" w:hAnsi="Arial" w:cs="Arial"/>
                <w:color w:val="333333"/>
                <w:sz w:val="22"/>
                <w:shd w:val="clear" w:color="auto" w:fill="FFFFFF"/>
              </w:rPr>
              <w:t xml:space="preserve">verbessert und auftretende Leselücken ergänzt werden. Außerdem erlernt </w:t>
            </w:r>
            <w:r w:rsidR="004E0FA2">
              <w:rPr>
                <w:rFonts w:ascii="Arial" w:hAnsi="Arial" w:cs="Arial"/>
                <w:color w:val="333333"/>
                <w:sz w:val="22"/>
                <w:shd w:val="clear" w:color="auto" w:fill="FFFFFF"/>
              </w:rPr>
              <w:t>die/</w:t>
            </w:r>
            <w:r w:rsidR="000606C6" w:rsidRPr="000606C6">
              <w:rPr>
                <w:rFonts w:ascii="Arial" w:hAnsi="Arial" w:cs="Arial"/>
                <w:color w:val="333333"/>
                <w:sz w:val="22"/>
                <w:shd w:val="clear" w:color="auto" w:fill="FFFFFF"/>
              </w:rPr>
              <w:t xml:space="preserve">der Leseschwache das Verwenden von Lesepausen </w:t>
            </w:r>
            <w:r w:rsidR="004E0FA2">
              <w:rPr>
                <w:rFonts w:ascii="Arial" w:hAnsi="Arial" w:cs="Arial"/>
                <w:color w:val="333333"/>
                <w:sz w:val="22"/>
                <w:shd w:val="clear" w:color="auto" w:fill="FFFFFF"/>
              </w:rPr>
              <w:t>und passenden Betonungen</w:t>
            </w:r>
            <w:r w:rsidR="000606C6" w:rsidRPr="000606C6">
              <w:rPr>
                <w:rFonts w:ascii="Arial" w:hAnsi="Arial" w:cs="Arial"/>
                <w:color w:val="333333"/>
                <w:sz w:val="22"/>
                <w:shd w:val="clear" w:color="auto" w:fill="FFFFFF"/>
              </w:rPr>
              <w:t xml:space="preserve">, die wesentlich zum Textverständnis beitragen. </w:t>
            </w:r>
          </w:p>
          <w:p w14:paraId="3B8517B6" w14:textId="4A94E46A" w:rsidR="000606C6" w:rsidRPr="006975D8" w:rsidRDefault="000606C6">
            <w:pPr>
              <w:spacing w:after="0" w:line="360" w:lineRule="auto"/>
              <w:rPr>
                <w:rStyle w:val="noext"/>
                <w:rFonts w:ascii="Arial" w:hAnsi="Arial" w:cs="Arial"/>
                <w:color w:val="333333"/>
                <w:sz w:val="22"/>
                <w:shd w:val="clear" w:color="auto" w:fill="FFFFFF"/>
              </w:rPr>
            </w:pPr>
            <w:r w:rsidRPr="000606C6">
              <w:rPr>
                <w:rFonts w:ascii="Arial" w:hAnsi="Arial" w:cs="Arial"/>
                <w:color w:val="333333"/>
                <w:sz w:val="22"/>
                <w:shd w:val="clear" w:color="auto" w:fill="FFFFFF"/>
              </w:rPr>
              <w:t xml:space="preserve">Das begleitende Paarlesen sollte mehrmals wöchentlich für mindestens 10 Minuten über einen längeren </w:t>
            </w:r>
            <w:r w:rsidR="00FE5025">
              <w:rPr>
                <w:rFonts w:ascii="Arial" w:hAnsi="Arial" w:cs="Arial"/>
                <w:color w:val="333333"/>
                <w:sz w:val="22"/>
                <w:shd w:val="clear" w:color="auto" w:fill="FFFFFF"/>
              </w:rPr>
              <w:t xml:space="preserve">Wochenzeitraum </w:t>
            </w:r>
            <w:r w:rsidRPr="000606C6">
              <w:rPr>
                <w:rFonts w:ascii="Arial" w:hAnsi="Arial" w:cs="Arial"/>
                <w:color w:val="333333"/>
                <w:sz w:val="22"/>
                <w:shd w:val="clear" w:color="auto" w:fill="FFFFFF"/>
              </w:rPr>
              <w:t xml:space="preserve">durchgeführt werden, damit sich Automatisierungsmechanismen einprägen und </w:t>
            </w:r>
            <w:r w:rsidR="00FE5025">
              <w:rPr>
                <w:rFonts w:ascii="Arial" w:hAnsi="Arial" w:cs="Arial"/>
                <w:color w:val="333333"/>
                <w:sz w:val="22"/>
                <w:shd w:val="clear" w:color="auto" w:fill="FFFFFF"/>
              </w:rPr>
              <w:t>die/</w:t>
            </w:r>
            <w:r w:rsidRPr="000606C6">
              <w:rPr>
                <w:rFonts w:ascii="Arial" w:hAnsi="Arial" w:cs="Arial"/>
                <w:color w:val="333333"/>
                <w:sz w:val="22"/>
                <w:shd w:val="clear" w:color="auto" w:fill="FFFFFF"/>
              </w:rPr>
              <w:t xml:space="preserve">der Leseschwache von den Fähigkeiten </w:t>
            </w:r>
            <w:r w:rsidR="00FE5025">
              <w:rPr>
                <w:rFonts w:ascii="Arial" w:hAnsi="Arial" w:cs="Arial"/>
                <w:color w:val="333333"/>
                <w:sz w:val="22"/>
                <w:shd w:val="clear" w:color="auto" w:fill="FFFFFF"/>
              </w:rPr>
              <w:t>der/</w:t>
            </w:r>
            <w:r w:rsidRPr="000606C6">
              <w:rPr>
                <w:rFonts w:ascii="Arial" w:hAnsi="Arial" w:cs="Arial"/>
                <w:color w:val="333333"/>
                <w:sz w:val="22"/>
                <w:shd w:val="clear" w:color="auto" w:fill="FFFFFF"/>
              </w:rPr>
              <w:t xml:space="preserve">des Lesestarken profitiert. </w:t>
            </w:r>
          </w:p>
          <w:p w14:paraId="1393DDC8" w14:textId="617A5ED3" w:rsidR="000606C6" w:rsidRDefault="006975D8">
            <w:pPr>
              <w:spacing w:after="0" w:line="360" w:lineRule="auto"/>
              <w:rPr>
                <w:rStyle w:val="noext"/>
                <w:rFonts w:ascii="Arial" w:hAnsi="Arial" w:cs="Arial"/>
                <w:sz w:val="22"/>
                <w:szCs w:val="22"/>
              </w:rPr>
            </w:pPr>
            <w:r w:rsidRPr="006975D8">
              <w:rPr>
                <w:rStyle w:val="noext"/>
                <w:rFonts w:ascii="Arial" w:hAnsi="Arial" w:cs="Arial"/>
                <w:sz w:val="22"/>
                <w:szCs w:val="22"/>
              </w:rPr>
              <w:t xml:space="preserve">Zur Ermittlung der </w:t>
            </w:r>
            <w:r>
              <w:rPr>
                <w:rStyle w:val="noext"/>
                <w:rFonts w:ascii="Arial" w:hAnsi="Arial" w:cs="Arial"/>
                <w:sz w:val="22"/>
                <w:szCs w:val="22"/>
              </w:rPr>
              <w:t>lesekompetenten Teampartner kann zu Beginn ein Lesetest durchgeführt werden, bei dem die Lesenden vorgegebene Leselücken mit Hilfe eine Wortspeichers während des Lesens ergänzen sollen, ohne ins Stocken zu geraten. Hierbei wird die Lesezeit gemessen und die Menge der Fehler als Grundlage zur Teameinteilung herangezogen.</w:t>
            </w:r>
          </w:p>
          <w:p w14:paraId="40E7020A" w14:textId="6ADD19C6" w:rsidR="006975D8" w:rsidRDefault="006975D8">
            <w:pPr>
              <w:spacing w:after="0" w:line="360" w:lineRule="auto"/>
              <w:rPr>
                <w:rStyle w:val="noext"/>
                <w:rFonts w:ascii="Arial" w:hAnsi="Arial" w:cs="Arial"/>
                <w:sz w:val="22"/>
                <w:szCs w:val="22"/>
              </w:rPr>
            </w:pPr>
            <w:r>
              <w:rPr>
                <w:rStyle w:val="noext"/>
                <w:rFonts w:ascii="Arial" w:hAnsi="Arial" w:cs="Arial"/>
                <w:sz w:val="22"/>
                <w:szCs w:val="22"/>
              </w:rPr>
              <w:t>Das Lesetraining beginnt, wenn die Teampartner ermittelt und die Regeln vermittelt wurden. Diese sind:</w:t>
            </w:r>
          </w:p>
          <w:p w14:paraId="3F32BE6F" w14:textId="73452041" w:rsidR="006975D8" w:rsidRPr="00FE5025" w:rsidRDefault="006975D8" w:rsidP="006975D8">
            <w:pPr>
              <w:pStyle w:val="Listenabsatz"/>
              <w:numPr>
                <w:ilvl w:val="0"/>
                <w:numId w:val="3"/>
              </w:numPr>
              <w:spacing w:after="0" w:line="360" w:lineRule="auto"/>
              <w:rPr>
                <w:rStyle w:val="noext"/>
                <w:rFonts w:ascii="Arial" w:hAnsi="Arial" w:cs="Arial"/>
                <w:szCs w:val="22"/>
              </w:rPr>
            </w:pPr>
            <w:r w:rsidRPr="00FE5025">
              <w:rPr>
                <w:rStyle w:val="noext"/>
                <w:rFonts w:ascii="Arial" w:hAnsi="Arial" w:cs="Arial"/>
                <w:szCs w:val="22"/>
              </w:rPr>
              <w:t xml:space="preserve">Der Lesestart beginnt </w:t>
            </w:r>
            <w:r w:rsidR="00C64747">
              <w:rPr>
                <w:rStyle w:val="noext"/>
                <w:rFonts w:ascii="Arial" w:hAnsi="Arial" w:cs="Arial"/>
                <w:szCs w:val="22"/>
              </w:rPr>
              <w:t>auf ein festgelegtes Kommando (</w:t>
            </w:r>
            <w:r w:rsidR="00FE5025" w:rsidRPr="00FE5025">
              <w:rPr>
                <w:rStyle w:val="noext"/>
                <w:rFonts w:ascii="Arial" w:hAnsi="Arial" w:cs="Arial"/>
                <w:szCs w:val="22"/>
              </w:rPr>
              <w:t>z</w:t>
            </w:r>
            <w:r w:rsidR="00FE5025" w:rsidRPr="00FE5025">
              <w:rPr>
                <w:rStyle w:val="noext"/>
                <w:rFonts w:ascii="Arial" w:hAnsi="Arial" w:cs="Arial"/>
              </w:rPr>
              <w:t xml:space="preserve">. B. auf </w:t>
            </w:r>
            <w:r w:rsidRPr="00FE5025">
              <w:rPr>
                <w:rStyle w:val="noext"/>
                <w:rFonts w:ascii="Arial" w:hAnsi="Arial" w:cs="Arial"/>
                <w:szCs w:val="22"/>
              </w:rPr>
              <w:t>„3-2-1-</w:t>
            </w:r>
            <w:r w:rsidR="00C64747">
              <w:rPr>
                <w:rStyle w:val="noext"/>
                <w:rFonts w:ascii="Arial" w:hAnsi="Arial" w:cs="Arial"/>
                <w:szCs w:val="22"/>
              </w:rPr>
              <w:t>read</w:t>
            </w:r>
            <w:r w:rsidRPr="00FE5025">
              <w:rPr>
                <w:rStyle w:val="noext"/>
                <w:rFonts w:ascii="Arial" w:hAnsi="Arial" w:cs="Arial"/>
                <w:szCs w:val="22"/>
              </w:rPr>
              <w:t>“</w:t>
            </w:r>
            <w:r w:rsidR="00C64747">
              <w:rPr>
                <w:rStyle w:val="noext"/>
                <w:rFonts w:ascii="Arial" w:hAnsi="Arial" w:cs="Arial"/>
                <w:szCs w:val="22"/>
              </w:rPr>
              <w:t xml:space="preserve">). </w:t>
            </w:r>
          </w:p>
          <w:p w14:paraId="1A4D38AE" w14:textId="77777777" w:rsidR="00AB5517" w:rsidRPr="00FE5025" w:rsidRDefault="006975D8" w:rsidP="006975D8">
            <w:pPr>
              <w:pStyle w:val="Listenabsatz"/>
              <w:numPr>
                <w:ilvl w:val="0"/>
                <w:numId w:val="3"/>
              </w:numPr>
              <w:spacing w:after="0" w:line="360" w:lineRule="auto"/>
              <w:rPr>
                <w:rStyle w:val="noext"/>
                <w:rFonts w:ascii="Arial" w:hAnsi="Arial" w:cs="Arial"/>
                <w:szCs w:val="22"/>
              </w:rPr>
            </w:pPr>
            <w:r w:rsidRPr="00FE5025">
              <w:rPr>
                <w:rStyle w:val="noext"/>
                <w:rFonts w:ascii="Arial" w:hAnsi="Arial" w:cs="Arial"/>
                <w:szCs w:val="22"/>
              </w:rPr>
              <w:t>Die</w:t>
            </w:r>
            <w:r w:rsidR="00AB5517" w:rsidRPr="00FE5025">
              <w:rPr>
                <w:rStyle w:val="noext"/>
                <w:rFonts w:ascii="Arial" w:hAnsi="Arial" w:cs="Arial"/>
                <w:szCs w:val="22"/>
              </w:rPr>
              <w:t xml:space="preserve"> Lesenden benutzen den </w:t>
            </w:r>
            <w:r w:rsidRPr="00FE5025">
              <w:rPr>
                <w:rStyle w:val="noext"/>
                <w:rFonts w:ascii="Arial" w:hAnsi="Arial" w:cs="Arial"/>
                <w:szCs w:val="22"/>
              </w:rPr>
              <w:t>Finger entlang der Lesezeile</w:t>
            </w:r>
            <w:r w:rsidR="00AB5517" w:rsidRPr="00FE5025">
              <w:rPr>
                <w:rStyle w:val="noext"/>
                <w:rFonts w:ascii="Arial" w:hAnsi="Arial" w:cs="Arial"/>
                <w:szCs w:val="22"/>
              </w:rPr>
              <w:t>.</w:t>
            </w:r>
          </w:p>
          <w:p w14:paraId="07D8B8A8" w14:textId="102C1EC0" w:rsidR="006975D8" w:rsidRPr="00FE5025" w:rsidRDefault="00AB5517" w:rsidP="006975D8">
            <w:pPr>
              <w:pStyle w:val="Listenabsatz"/>
              <w:numPr>
                <w:ilvl w:val="0"/>
                <w:numId w:val="3"/>
              </w:numPr>
              <w:spacing w:after="0" w:line="360" w:lineRule="auto"/>
              <w:rPr>
                <w:rStyle w:val="noext"/>
                <w:rFonts w:ascii="Arial" w:hAnsi="Arial" w:cs="Arial"/>
                <w:szCs w:val="22"/>
              </w:rPr>
            </w:pPr>
            <w:r w:rsidRPr="00FE5025">
              <w:rPr>
                <w:rStyle w:val="noext"/>
                <w:rFonts w:ascii="Arial" w:hAnsi="Arial" w:cs="Arial"/>
                <w:szCs w:val="22"/>
              </w:rPr>
              <w:t xml:space="preserve">Die/der Lesestarke </w:t>
            </w:r>
            <w:r w:rsidR="006975D8" w:rsidRPr="00FE5025">
              <w:rPr>
                <w:rStyle w:val="noext"/>
                <w:rFonts w:ascii="Arial" w:hAnsi="Arial" w:cs="Arial"/>
                <w:szCs w:val="22"/>
              </w:rPr>
              <w:t xml:space="preserve">nimmt Rücksicht auf das Tempo </w:t>
            </w:r>
            <w:r w:rsidR="00323427">
              <w:rPr>
                <w:rStyle w:val="noext"/>
                <w:rFonts w:ascii="Arial" w:hAnsi="Arial" w:cs="Arial"/>
                <w:szCs w:val="22"/>
              </w:rPr>
              <w:t xml:space="preserve">der/des </w:t>
            </w:r>
            <w:r w:rsidR="00C47995">
              <w:rPr>
                <w:rStyle w:val="noext"/>
                <w:rFonts w:ascii="Arial" w:hAnsi="Arial" w:cs="Arial"/>
                <w:szCs w:val="22"/>
              </w:rPr>
              <w:t>Schwächeren.</w:t>
            </w:r>
          </w:p>
          <w:p w14:paraId="03BF7837" w14:textId="2D7564BB" w:rsidR="006975D8" w:rsidRPr="00FE5025" w:rsidRDefault="006975D8" w:rsidP="006975D8">
            <w:pPr>
              <w:pStyle w:val="Listenabsatz"/>
              <w:numPr>
                <w:ilvl w:val="0"/>
                <w:numId w:val="3"/>
              </w:numPr>
              <w:spacing w:after="0" w:line="360" w:lineRule="auto"/>
              <w:rPr>
                <w:rStyle w:val="noext"/>
                <w:rFonts w:ascii="Arial" w:hAnsi="Arial" w:cs="Arial"/>
                <w:szCs w:val="22"/>
              </w:rPr>
            </w:pPr>
            <w:r w:rsidRPr="00FE5025">
              <w:rPr>
                <w:rStyle w:val="noext"/>
                <w:rFonts w:ascii="Arial" w:hAnsi="Arial" w:cs="Arial"/>
                <w:szCs w:val="22"/>
              </w:rPr>
              <w:t xml:space="preserve">Bei Lesefehlern wird der Satz wiederholt. </w:t>
            </w:r>
          </w:p>
          <w:p w14:paraId="0BA62D7B" w14:textId="15D734F0" w:rsidR="006975D8" w:rsidRPr="00FE5025" w:rsidRDefault="006975D8" w:rsidP="006975D8">
            <w:pPr>
              <w:pStyle w:val="Listenabsatz"/>
              <w:numPr>
                <w:ilvl w:val="0"/>
                <w:numId w:val="3"/>
              </w:numPr>
              <w:spacing w:after="0" w:line="360" w:lineRule="auto"/>
              <w:rPr>
                <w:rStyle w:val="noext"/>
                <w:rFonts w:ascii="Arial" w:hAnsi="Arial" w:cs="Arial"/>
                <w:szCs w:val="22"/>
              </w:rPr>
            </w:pPr>
            <w:r w:rsidRPr="00FE5025">
              <w:rPr>
                <w:rStyle w:val="noext"/>
                <w:rFonts w:ascii="Arial" w:hAnsi="Arial" w:cs="Arial"/>
                <w:szCs w:val="22"/>
              </w:rPr>
              <w:t xml:space="preserve">Textabsätze werden </w:t>
            </w:r>
            <w:r w:rsidR="00AB5517" w:rsidRPr="00FE5025">
              <w:rPr>
                <w:rStyle w:val="noext"/>
                <w:rFonts w:ascii="Arial" w:hAnsi="Arial" w:cs="Arial"/>
                <w:szCs w:val="22"/>
              </w:rPr>
              <w:t>solange halblaut wiederholt, bis sie flüssig und fehlerfrei sind (mind.</w:t>
            </w:r>
            <w:r w:rsidR="00ED44B8" w:rsidRPr="00FE5025">
              <w:rPr>
                <w:rStyle w:val="noext"/>
                <w:rFonts w:ascii="Arial" w:hAnsi="Arial" w:cs="Arial"/>
                <w:szCs w:val="22"/>
              </w:rPr>
              <w:t xml:space="preserve">3 </w:t>
            </w:r>
            <w:r w:rsidR="00AB5517" w:rsidRPr="00FE5025">
              <w:rPr>
                <w:rStyle w:val="noext"/>
                <w:rFonts w:ascii="Arial" w:hAnsi="Arial" w:cs="Arial"/>
                <w:szCs w:val="22"/>
              </w:rPr>
              <w:t>x).</w:t>
            </w:r>
            <w:r w:rsidR="00FE5025" w:rsidRPr="00FE5025">
              <w:rPr>
                <w:rStyle w:val="noext"/>
                <w:rFonts w:ascii="Arial" w:hAnsi="Arial" w:cs="Arial"/>
                <w:szCs w:val="22"/>
              </w:rPr>
              <w:t xml:space="preserve"> </w:t>
            </w:r>
            <w:r w:rsidR="00FE5025" w:rsidRPr="00FE5025">
              <w:rPr>
                <w:rStyle w:val="noext"/>
                <w:rFonts w:ascii="Arial" w:hAnsi="Arial" w:cs="Arial"/>
              </w:rPr>
              <w:t>Dazu muss die Audiowiedergabe jeweils gestoppt und neu gestartet werden.</w:t>
            </w:r>
          </w:p>
          <w:p w14:paraId="727D9740" w14:textId="5D080F66" w:rsidR="000606C6" w:rsidRPr="00BA5867" w:rsidRDefault="000606C6" w:rsidP="000606C6">
            <w:pPr>
              <w:spacing w:after="0" w:line="480" w:lineRule="auto"/>
              <w:rPr>
                <w:rStyle w:val="noext"/>
                <w:rFonts w:ascii="Arial" w:hAnsi="Arial" w:cs="Arial"/>
                <w:color w:val="333333"/>
                <w:sz w:val="22"/>
                <w:szCs w:val="22"/>
                <w:shd w:val="clear" w:color="auto" w:fill="FFFFFF"/>
              </w:rPr>
            </w:pPr>
            <w:r w:rsidRPr="000606C6">
              <w:t xml:space="preserve"> </w:t>
            </w:r>
            <w:r w:rsidR="00BA5867" w:rsidRPr="00BA5867">
              <w:rPr>
                <w:rFonts w:ascii="Arial" w:hAnsi="Arial" w:cs="Arial"/>
                <w:sz w:val="22"/>
                <w:szCs w:val="22"/>
              </w:rPr>
              <w:t xml:space="preserve">Am Ende der Leseeinheiten sollte den Schülerinnen und Schülern ein Feedback über Ihre Lernfortschritte gegeben werden. </w:t>
            </w:r>
          </w:p>
        </w:tc>
      </w:tr>
    </w:tbl>
    <w:p w14:paraId="0DAF74E1" w14:textId="77777777" w:rsidR="00450788" w:rsidRDefault="00450788"/>
    <w:p w14:paraId="5B81E32B" w14:textId="77777777" w:rsidR="00BA5867" w:rsidRDefault="00BA5867"/>
    <w:sectPr w:rsidR="00BA586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69B3" w14:textId="77777777" w:rsidR="00257BF6" w:rsidRDefault="00257BF6" w:rsidP="00450788">
      <w:pPr>
        <w:spacing w:before="0" w:after="0" w:line="240" w:lineRule="auto"/>
      </w:pPr>
      <w:r>
        <w:separator/>
      </w:r>
    </w:p>
  </w:endnote>
  <w:endnote w:type="continuationSeparator" w:id="0">
    <w:p w14:paraId="611719F8" w14:textId="77777777" w:rsidR="00257BF6" w:rsidRDefault="00257BF6" w:rsidP="004507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Sylfaen"/>
    <w:panose1 w:val="020B0504020202020204"/>
    <w:charset w:val="00"/>
    <w:family w:val="swiss"/>
    <w:pitch w:val="variable"/>
    <w:sig w:usb0="E4838EFF" w:usb1="4200FDFF" w:usb2="000030A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8696" w14:textId="77777777" w:rsidR="00257BF6" w:rsidRDefault="00257BF6" w:rsidP="00450788">
      <w:pPr>
        <w:spacing w:before="0" w:after="0" w:line="240" w:lineRule="auto"/>
      </w:pPr>
      <w:r>
        <w:separator/>
      </w:r>
    </w:p>
  </w:footnote>
  <w:footnote w:type="continuationSeparator" w:id="0">
    <w:p w14:paraId="1D3C4EE0" w14:textId="77777777" w:rsidR="00257BF6" w:rsidRDefault="00257BF6" w:rsidP="004507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1192" w14:textId="7F9B1FF2" w:rsidR="00450788" w:rsidRDefault="00450788">
    <w:pPr>
      <w:pStyle w:val="Kopfzeile"/>
    </w:pPr>
  </w:p>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450788" w:rsidRPr="00450788" w14:paraId="2DA3FEE3" w14:textId="77777777" w:rsidTr="00976D4E">
      <w:trPr>
        <w:trHeight w:val="997"/>
      </w:trPr>
      <w:tc>
        <w:tcPr>
          <w:tcW w:w="1702" w:type="dxa"/>
          <w:tcBorders>
            <w:bottom w:val="single" w:sz="48" w:space="0" w:color="C0C0C0"/>
            <w:right w:val="single" w:sz="48" w:space="0" w:color="C0C0C0"/>
          </w:tcBorders>
        </w:tcPr>
        <w:p w14:paraId="5004F524" w14:textId="77777777" w:rsidR="00450788" w:rsidRPr="00450788" w:rsidRDefault="00450788" w:rsidP="00450788">
          <w:pPr>
            <w:tabs>
              <w:tab w:val="center" w:pos="4536"/>
              <w:tab w:val="right" w:pos="9072"/>
            </w:tabs>
            <w:spacing w:before="600" w:after="20" w:line="240" w:lineRule="auto"/>
            <w:ind w:left="227"/>
            <w:rPr>
              <w:rFonts w:ascii="Arial" w:hAnsi="Arial" w:cs="Arial"/>
              <w:color w:val="595959"/>
              <w:sz w:val="30"/>
              <w:szCs w:val="24"/>
            </w:rPr>
          </w:pPr>
          <w:r w:rsidRPr="00450788">
            <w:rPr>
              <w:rFonts w:ascii="Arial" w:hAnsi="Arial" w:cs="Arial"/>
              <w:noProof/>
              <w:color w:val="595959"/>
              <w:sz w:val="30"/>
              <w:szCs w:val="24"/>
              <w:lang w:eastAsia="de-DE"/>
            </w:rPr>
            <w:drawing>
              <wp:anchor distT="0" distB="0" distL="114300" distR="114300" simplePos="0" relativeHeight="251659264" behindDoc="1" locked="0" layoutInCell="1" allowOverlap="1" wp14:anchorId="07760CC8" wp14:editId="56D4FE9D">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693D3D84" w14:textId="77777777" w:rsidR="00450788" w:rsidRPr="00450788" w:rsidRDefault="00450788" w:rsidP="00450788">
          <w:pPr>
            <w:tabs>
              <w:tab w:val="center" w:pos="4536"/>
              <w:tab w:val="right" w:pos="9072"/>
            </w:tabs>
            <w:spacing w:before="600" w:after="20" w:line="240" w:lineRule="auto"/>
            <w:ind w:left="227"/>
            <w:rPr>
              <w:rFonts w:ascii="Arial" w:hAnsi="Arial" w:cs="Arial"/>
              <w:color w:val="595959"/>
              <w:sz w:val="30"/>
              <w:szCs w:val="24"/>
            </w:rPr>
          </w:pPr>
        </w:p>
      </w:tc>
      <w:tc>
        <w:tcPr>
          <w:tcW w:w="7515" w:type="dxa"/>
          <w:tcBorders>
            <w:left w:val="single" w:sz="48" w:space="0" w:color="008000"/>
            <w:bottom w:val="single" w:sz="48" w:space="0" w:color="008000"/>
          </w:tcBorders>
        </w:tcPr>
        <w:p w14:paraId="6D6DF02E" w14:textId="77777777" w:rsidR="00450788" w:rsidRPr="00450788" w:rsidRDefault="00450788" w:rsidP="00450788">
          <w:pPr>
            <w:tabs>
              <w:tab w:val="center" w:pos="4536"/>
              <w:tab w:val="right" w:pos="9072"/>
            </w:tabs>
            <w:spacing w:before="600" w:after="20" w:line="240" w:lineRule="auto"/>
            <w:ind w:left="227"/>
            <w:rPr>
              <w:rFonts w:ascii="Arial" w:hAnsi="Arial" w:cs="Arial"/>
              <w:color w:val="595959"/>
              <w:sz w:val="26"/>
              <w:szCs w:val="26"/>
            </w:rPr>
          </w:pPr>
          <w:r w:rsidRPr="00450788">
            <w:rPr>
              <w:rFonts w:ascii="Arial" w:hAnsi="Arial" w:cs="Arial"/>
              <w:color w:val="595959"/>
              <w:sz w:val="26"/>
              <w:szCs w:val="26"/>
            </w:rPr>
            <w:t xml:space="preserve">Leseförderung als Aufgabe aller Fächer – Methodenspeicher </w:t>
          </w:r>
        </w:p>
      </w:tc>
    </w:tr>
  </w:tbl>
  <w:p w14:paraId="42AF8A1E" w14:textId="77777777" w:rsidR="00450788" w:rsidRDefault="004507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71FE"/>
    <w:multiLevelType w:val="hybridMultilevel"/>
    <w:tmpl w:val="8F0EABA0"/>
    <w:lvl w:ilvl="0" w:tplc="E1CAA1E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8001BB"/>
    <w:multiLevelType w:val="hybridMultilevel"/>
    <w:tmpl w:val="94D2CC00"/>
    <w:lvl w:ilvl="0" w:tplc="0E6EE9A8">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64D2D62"/>
    <w:multiLevelType w:val="hybridMultilevel"/>
    <w:tmpl w:val="CF2436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88"/>
    <w:rsid w:val="000123EC"/>
    <w:rsid w:val="000606C6"/>
    <w:rsid w:val="000B6F34"/>
    <w:rsid w:val="001F5734"/>
    <w:rsid w:val="00243C50"/>
    <w:rsid w:val="00257BF6"/>
    <w:rsid w:val="00323427"/>
    <w:rsid w:val="00450788"/>
    <w:rsid w:val="004E0FA2"/>
    <w:rsid w:val="005454FD"/>
    <w:rsid w:val="005B6D35"/>
    <w:rsid w:val="0064016A"/>
    <w:rsid w:val="006975D8"/>
    <w:rsid w:val="009930A0"/>
    <w:rsid w:val="009A6ACB"/>
    <w:rsid w:val="00AB5517"/>
    <w:rsid w:val="00AC6395"/>
    <w:rsid w:val="00B942A3"/>
    <w:rsid w:val="00BA5867"/>
    <w:rsid w:val="00C47995"/>
    <w:rsid w:val="00C64747"/>
    <w:rsid w:val="00E42293"/>
    <w:rsid w:val="00ED44B8"/>
    <w:rsid w:val="00FB2266"/>
    <w:rsid w:val="00FE5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0149"/>
  <w15:chartTrackingRefBased/>
  <w15:docId w15:val="{2C09BFA4-2236-4CAD-8C19-E06097F9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06C6"/>
    <w:pPr>
      <w:spacing w:before="120" w:after="120" w:line="276" w:lineRule="auto"/>
    </w:pPr>
    <w:rPr>
      <w:rFonts w:ascii="FreeSans" w:eastAsia="Calibri" w:hAnsi="FreeSans"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07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788"/>
  </w:style>
  <w:style w:type="paragraph" w:styleId="Fuzeile">
    <w:name w:val="footer"/>
    <w:basedOn w:val="Standard"/>
    <w:link w:val="FuzeileZchn"/>
    <w:uiPriority w:val="99"/>
    <w:unhideWhenUsed/>
    <w:rsid w:val="004507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788"/>
  </w:style>
  <w:style w:type="table" w:styleId="Tabellenraster">
    <w:name w:val="Table Grid"/>
    <w:basedOn w:val="NormaleTabelle"/>
    <w:uiPriority w:val="59"/>
    <w:rsid w:val="00450788"/>
    <w:pPr>
      <w:spacing w:after="0" w:line="240" w:lineRule="auto"/>
    </w:pPr>
    <w:rPr>
      <w:rFonts w:ascii="Calibri" w:eastAsia="Calibri" w:hAnsi="Calibri"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606C6"/>
    <w:rPr>
      <w:color w:val="0563C1" w:themeColor="hyperlink"/>
      <w:u w:val="single"/>
    </w:rPr>
  </w:style>
  <w:style w:type="paragraph" w:styleId="Listenabsatz">
    <w:name w:val="List Paragraph"/>
    <w:basedOn w:val="Standard"/>
    <w:uiPriority w:val="34"/>
    <w:qFormat/>
    <w:rsid w:val="000606C6"/>
    <w:pPr>
      <w:spacing w:before="0" w:after="160" w:line="256" w:lineRule="auto"/>
      <w:ind w:left="720"/>
      <w:contextualSpacing/>
    </w:pPr>
    <w:rPr>
      <w:rFonts w:ascii="Calibri" w:eastAsia="Batang" w:hAnsi="Calibri"/>
      <w:sz w:val="22"/>
    </w:rPr>
  </w:style>
  <w:style w:type="character" w:customStyle="1" w:styleId="noext">
    <w:name w:val="noext"/>
    <w:basedOn w:val="Absatz-Standardschriftart"/>
    <w:rsid w:val="0006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0636">
      <w:bodyDiv w:val="1"/>
      <w:marLeft w:val="0"/>
      <w:marRight w:val="0"/>
      <w:marTop w:val="0"/>
      <w:marBottom w:val="0"/>
      <w:divBdr>
        <w:top w:val="none" w:sz="0" w:space="0" w:color="auto"/>
        <w:left w:val="none" w:sz="0" w:space="0" w:color="auto"/>
        <w:bottom w:val="none" w:sz="0" w:space="0" w:color="auto"/>
        <w:right w:val="none" w:sz="0" w:space="0" w:color="auto"/>
      </w:divBdr>
    </w:div>
    <w:div w:id="8806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Mühlisch</dc:creator>
  <cp:keywords/>
  <dc:description/>
  <cp:lastModifiedBy>Brunke, Birgit</cp:lastModifiedBy>
  <cp:revision>2</cp:revision>
  <dcterms:created xsi:type="dcterms:W3CDTF">2023-04-18T08:52:00Z</dcterms:created>
  <dcterms:modified xsi:type="dcterms:W3CDTF">2023-04-18T08:52:00Z</dcterms:modified>
</cp:coreProperties>
</file>